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20" w:leftChars="-50" w:right="-120" w:rightChars="-50"/>
        <w:jc w:val="center"/>
        <w:rPr>
          <w:rFonts w:ascii="黑体" w:hAnsi="黑体" w:eastAsia="黑体" w:cs="宋体"/>
          <w:b/>
          <w:bCs/>
          <w:sz w:val="32"/>
          <w:szCs w:val="32"/>
        </w:rPr>
      </w:pPr>
      <w:r>
        <w:rPr>
          <w:rFonts w:hint="eastAsia" w:ascii="黑体" w:hAnsi="黑体" w:eastAsia="黑体"/>
          <w:sz w:val="40"/>
          <w:szCs w:val="44"/>
        </w:rPr>
        <w:t>吴中区太湖湖体倾倒固体废物事件环境损害评估招标公告</w:t>
      </w:r>
    </w:p>
    <w:p>
      <w:pPr>
        <w:spacing w:line="360" w:lineRule="auto"/>
        <w:ind w:right="-159" w:firstLine="643" w:firstLineChars="200"/>
        <w:rPr>
          <w:rFonts w:ascii="仿宋" w:hAnsi="仿宋" w:eastAsia="仿宋" w:cs="仿宋"/>
          <w:b/>
          <w:bCs/>
          <w:sz w:val="32"/>
          <w:szCs w:val="32"/>
        </w:rPr>
      </w:pPr>
      <w:r>
        <w:rPr>
          <w:rFonts w:hint="eastAsia" w:ascii="仿宋" w:hAnsi="仿宋" w:eastAsia="仿宋" w:cs="仿宋"/>
          <w:b/>
          <w:bCs/>
          <w:sz w:val="32"/>
          <w:szCs w:val="32"/>
        </w:rPr>
        <w:t>一、采购项目背景</w:t>
      </w:r>
    </w:p>
    <w:p>
      <w:pPr>
        <w:widowControl w:val="0"/>
        <w:spacing w:line="360" w:lineRule="auto"/>
        <w:ind w:right="-159"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2021年3月19日，苏州市吴中生态环境局接报太湖湖体被倾倒固体废物。经过前期的调查，本次倾倒的固体废物为来自杭州的建筑渣土。根据工作需要，现需对吴中区太湖湖体倾倒固体废物事件造成的环境损害进行鉴定评估。</w:t>
      </w:r>
    </w:p>
    <w:p>
      <w:pPr>
        <w:widowControl w:val="0"/>
        <w:spacing w:line="360" w:lineRule="auto"/>
        <w:ind w:right="-159" w:firstLine="643" w:firstLineChars="200"/>
        <w:rPr>
          <w:rFonts w:ascii="仿宋" w:hAnsi="仿宋" w:eastAsia="仿宋" w:cs="仿宋"/>
          <w:b/>
          <w:bCs/>
          <w:kern w:val="2"/>
          <w:sz w:val="32"/>
          <w:szCs w:val="32"/>
        </w:rPr>
      </w:pPr>
      <w:r>
        <w:rPr>
          <w:rFonts w:hint="eastAsia" w:ascii="仿宋" w:hAnsi="仿宋" w:eastAsia="仿宋" w:cs="仿宋"/>
          <w:b/>
          <w:bCs/>
          <w:kern w:val="2"/>
          <w:sz w:val="32"/>
          <w:szCs w:val="32"/>
        </w:rPr>
        <w:t>二、采购单位</w:t>
      </w:r>
    </w:p>
    <w:p>
      <w:pPr>
        <w:pStyle w:val="2"/>
        <w:widowControl w:val="0"/>
        <w:ind w:firstLine="640" w:firstLineChars="200"/>
        <w:rPr>
          <w:rFonts w:ascii="仿宋" w:hAnsi="仿宋" w:eastAsia="仿宋" w:cs="仿宋"/>
          <w:kern w:val="2"/>
          <w:sz w:val="32"/>
          <w:szCs w:val="32"/>
        </w:rPr>
      </w:pPr>
      <w:r>
        <w:rPr>
          <w:rFonts w:hint="eastAsia" w:ascii="仿宋" w:hAnsi="仿宋" w:eastAsia="仿宋" w:cs="仿宋"/>
          <w:kern w:val="2"/>
          <w:sz w:val="32"/>
          <w:szCs w:val="32"/>
        </w:rPr>
        <w:t>苏州市吴中生态环境局</w:t>
      </w:r>
    </w:p>
    <w:p>
      <w:pPr>
        <w:widowControl w:val="0"/>
        <w:spacing w:line="560" w:lineRule="exact"/>
        <w:ind w:firstLine="640" w:firstLineChars="200"/>
        <w:rPr>
          <w:rFonts w:ascii="仿宋" w:hAnsi="仿宋" w:eastAsia="仿宋" w:cs="仿宋"/>
          <w:b/>
          <w:bCs/>
          <w:sz w:val="32"/>
          <w:szCs w:val="32"/>
        </w:rPr>
      </w:pPr>
      <w:r>
        <w:rPr>
          <w:rFonts w:hint="eastAsia" w:ascii="仿宋" w:hAnsi="仿宋" w:eastAsia="仿宋" w:cs="仿宋"/>
          <w:kern w:val="2"/>
          <w:sz w:val="32"/>
          <w:szCs w:val="32"/>
        </w:rPr>
        <w:t>三、</w:t>
      </w:r>
      <w:r>
        <w:rPr>
          <w:rFonts w:hint="eastAsia" w:ascii="仿宋" w:hAnsi="仿宋" w:eastAsia="仿宋" w:cs="仿宋"/>
          <w:b/>
          <w:bCs/>
          <w:sz w:val="32"/>
          <w:szCs w:val="32"/>
        </w:rPr>
        <w:t>采购项目概况</w:t>
      </w:r>
    </w:p>
    <w:p>
      <w:pPr>
        <w:widowControl w:val="0"/>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1、采购</w:t>
      </w:r>
      <w:r>
        <w:rPr>
          <w:rFonts w:hint="eastAsia" w:ascii="仿宋" w:hAnsi="仿宋" w:eastAsia="仿宋" w:cs="仿宋"/>
          <w:kern w:val="2"/>
          <w:sz w:val="32"/>
          <w:szCs w:val="32"/>
        </w:rPr>
        <w:t>内容：吴中区太湖湖体倾倒固体废物事件环境损害评估司法鉴定。</w:t>
      </w:r>
    </w:p>
    <w:p>
      <w:pPr>
        <w:widowControl w:val="0"/>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2、采购预算（人民币）：</w:t>
      </w:r>
      <w:r>
        <w:rPr>
          <w:rFonts w:hint="eastAsia" w:ascii="仿宋" w:hAnsi="仿宋" w:eastAsia="仿宋" w:cs="仿宋"/>
          <w:sz w:val="32"/>
          <w:szCs w:val="32"/>
          <w:lang w:val="en-US" w:eastAsia="zh-CN"/>
        </w:rPr>
        <w:t>25</w:t>
      </w:r>
      <w:r>
        <w:rPr>
          <w:rFonts w:hint="eastAsia" w:ascii="Times New Roman" w:hAnsi="华文仿宋" w:eastAsia="华文仿宋"/>
          <w:sz w:val="32"/>
          <w:szCs w:val="32"/>
          <w:highlight w:val="none"/>
        </w:rPr>
        <w:t>万元整</w:t>
      </w:r>
      <w:r>
        <w:rPr>
          <w:rFonts w:hint="eastAsia" w:ascii="仿宋" w:hAnsi="仿宋" w:eastAsia="仿宋" w:cs="仿宋"/>
          <w:sz w:val="32"/>
          <w:szCs w:val="32"/>
        </w:rPr>
        <w:t>。</w:t>
      </w:r>
    </w:p>
    <w:p>
      <w:pPr>
        <w:widowControl w:val="0"/>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3、结算方式：按合同支付。</w:t>
      </w:r>
    </w:p>
    <w:p>
      <w:pPr>
        <w:widowControl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四、投标人资质要求</w:t>
      </w:r>
    </w:p>
    <w:p>
      <w:pPr>
        <w:widowControl w:val="0"/>
        <w:spacing w:line="360" w:lineRule="auto"/>
        <w:ind w:right="-159" w:firstLine="640" w:firstLineChars="200"/>
        <w:jc w:val="both"/>
        <w:rPr>
          <w:rFonts w:hint="eastAsia" w:ascii="仿宋" w:hAnsi="仿宋" w:eastAsia="仿宋" w:cs="仿宋"/>
          <w:sz w:val="32"/>
          <w:szCs w:val="32"/>
        </w:rPr>
      </w:pPr>
      <w:r>
        <w:rPr>
          <w:rFonts w:hint="eastAsia" w:ascii="仿宋" w:hAnsi="仿宋" w:eastAsia="仿宋" w:cs="仿宋"/>
          <w:sz w:val="32"/>
          <w:szCs w:val="32"/>
        </w:rPr>
        <w:t>1、法人或者其他组织的营业执照等证明文件（指营业执照和税务登记证，或“三证合一”的营业执照或事业单位法人证书）；</w:t>
      </w:r>
    </w:p>
    <w:p>
      <w:pPr>
        <w:widowControl w:val="0"/>
        <w:spacing w:line="360" w:lineRule="auto"/>
        <w:ind w:right="-159" w:firstLine="640" w:firstLineChars="200"/>
        <w:jc w:val="both"/>
        <w:rPr>
          <w:rFonts w:hint="eastAsia" w:ascii="仿宋" w:hAnsi="仿宋" w:eastAsia="仿宋" w:cs="仿宋"/>
          <w:sz w:val="32"/>
          <w:szCs w:val="32"/>
        </w:rPr>
      </w:pPr>
      <w:r>
        <w:rPr>
          <w:rFonts w:hint="eastAsia" w:ascii="仿宋" w:hAnsi="仿宋" w:eastAsia="仿宋" w:cs="仿宋"/>
          <w:sz w:val="32"/>
          <w:szCs w:val="32"/>
        </w:rPr>
        <w:t>2、具备履行合同所必需的设备和专业技术能力的声明；</w:t>
      </w:r>
    </w:p>
    <w:p>
      <w:pPr>
        <w:widowControl w:val="0"/>
        <w:spacing w:line="360" w:lineRule="auto"/>
        <w:ind w:right="-159" w:firstLine="640" w:firstLineChars="200"/>
        <w:jc w:val="both"/>
        <w:rPr>
          <w:rFonts w:hint="eastAsia" w:ascii="仿宋" w:hAnsi="仿宋" w:eastAsia="仿宋" w:cs="仿宋"/>
          <w:sz w:val="32"/>
          <w:szCs w:val="32"/>
        </w:rPr>
      </w:pPr>
      <w:r>
        <w:rPr>
          <w:rFonts w:hint="eastAsia" w:ascii="仿宋" w:hAnsi="仿宋" w:eastAsia="仿宋" w:cs="仿宋"/>
          <w:sz w:val="32"/>
          <w:szCs w:val="32"/>
        </w:rPr>
        <w:t>3、参加政府采购活动前3年内（自公开招标文件发出之日起计算）在经营活动中没有重大违法记录的书面声明；</w:t>
      </w:r>
    </w:p>
    <w:p>
      <w:pPr>
        <w:widowControl w:val="0"/>
        <w:spacing w:line="360" w:lineRule="auto"/>
        <w:ind w:right="-159" w:firstLine="640" w:firstLineChars="200"/>
        <w:jc w:val="both"/>
        <w:rPr>
          <w:rFonts w:ascii="仿宋" w:hAnsi="仿宋" w:eastAsia="仿宋" w:cs="仿宋"/>
          <w:sz w:val="32"/>
          <w:szCs w:val="32"/>
        </w:rPr>
      </w:pPr>
      <w:r>
        <w:rPr>
          <w:rFonts w:hint="eastAsia" w:ascii="仿宋" w:hAnsi="仿宋" w:eastAsia="仿宋" w:cs="仿宋"/>
          <w:sz w:val="32"/>
          <w:szCs w:val="32"/>
        </w:rPr>
        <w:t>4、具有省级以上主管部门颁发的司法鉴定许可证，业务范围需包含生态环境损害鉴定评估。</w:t>
      </w:r>
    </w:p>
    <w:p>
      <w:pPr>
        <w:widowControl w:val="0"/>
        <w:spacing w:line="360" w:lineRule="auto"/>
        <w:ind w:right="-159" w:firstLine="643" w:firstLineChars="200"/>
        <w:rPr>
          <w:rFonts w:ascii="仿宋" w:hAnsi="仿宋" w:eastAsia="仿宋" w:cs="仿宋"/>
          <w:b/>
          <w:bCs/>
          <w:kern w:val="2"/>
          <w:sz w:val="32"/>
          <w:szCs w:val="32"/>
        </w:rPr>
      </w:pPr>
      <w:r>
        <w:rPr>
          <w:rFonts w:hint="eastAsia" w:ascii="仿宋" w:hAnsi="仿宋" w:eastAsia="仿宋" w:cs="仿宋"/>
          <w:b/>
          <w:bCs/>
          <w:sz w:val="32"/>
          <w:szCs w:val="32"/>
        </w:rPr>
        <w:t>五、</w:t>
      </w:r>
      <w:r>
        <w:rPr>
          <w:rFonts w:hint="eastAsia" w:ascii="仿宋" w:hAnsi="仿宋" w:eastAsia="仿宋" w:cs="仿宋"/>
          <w:b/>
          <w:bCs/>
          <w:kern w:val="2"/>
          <w:sz w:val="32"/>
          <w:szCs w:val="32"/>
        </w:rPr>
        <w:t>工作内容</w:t>
      </w:r>
    </w:p>
    <w:p>
      <w:pPr>
        <w:widowControl w:val="0"/>
        <w:spacing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对苏州市吴中区太湖湖体倾倒固体废物事件造成的环境损害进行鉴定评估。</w:t>
      </w:r>
    </w:p>
    <w:p>
      <w:pPr>
        <w:widowControl w:val="0"/>
        <w:spacing w:line="360" w:lineRule="auto"/>
        <w:ind w:firstLine="643" w:firstLineChars="200"/>
        <w:rPr>
          <w:rFonts w:ascii="仿宋" w:hAnsi="仿宋" w:eastAsia="仿宋" w:cs="仿宋"/>
          <w:b/>
          <w:bCs/>
          <w:kern w:val="2"/>
          <w:sz w:val="32"/>
          <w:szCs w:val="32"/>
        </w:rPr>
      </w:pPr>
      <w:r>
        <w:rPr>
          <w:rFonts w:hint="eastAsia" w:ascii="仿宋" w:hAnsi="仿宋" w:eastAsia="仿宋" w:cs="仿宋"/>
          <w:b/>
          <w:bCs/>
          <w:sz w:val="32"/>
          <w:szCs w:val="32"/>
        </w:rPr>
        <w:t>六、</w:t>
      </w:r>
      <w:r>
        <w:rPr>
          <w:rFonts w:hint="eastAsia" w:ascii="仿宋" w:hAnsi="仿宋" w:eastAsia="仿宋" w:cs="仿宋"/>
          <w:b/>
          <w:bCs/>
          <w:kern w:val="2"/>
          <w:sz w:val="32"/>
          <w:szCs w:val="32"/>
        </w:rPr>
        <w:t>工作要求</w:t>
      </w:r>
    </w:p>
    <w:p>
      <w:pPr>
        <w:widowControl w:val="0"/>
        <w:spacing w:line="360" w:lineRule="auto"/>
        <w:ind w:firstLine="482"/>
        <w:jc w:val="both"/>
        <w:rPr>
          <w:rFonts w:ascii="仿宋" w:hAnsi="仿宋" w:eastAsia="仿宋" w:cs="仿宋"/>
          <w:kern w:val="2"/>
          <w:sz w:val="32"/>
          <w:szCs w:val="32"/>
        </w:rPr>
      </w:pPr>
      <w:r>
        <w:rPr>
          <w:rFonts w:hint="eastAsia" w:ascii="仿宋" w:hAnsi="仿宋" w:eastAsia="仿宋" w:cs="仿宋"/>
          <w:kern w:val="2"/>
          <w:sz w:val="32"/>
          <w:szCs w:val="32"/>
        </w:rPr>
        <w:t>鉴定评估机构需按照国家规定的程序和方法，综合运用科学技术和专业知识，开展环境损害鉴定评估工作。</w:t>
      </w:r>
    </w:p>
    <w:p>
      <w:pPr>
        <w:widowControl w:val="0"/>
        <w:spacing w:line="360" w:lineRule="auto"/>
        <w:ind w:firstLine="643" w:firstLineChars="200"/>
        <w:rPr>
          <w:rFonts w:ascii="仿宋" w:hAnsi="仿宋" w:eastAsia="仿宋" w:cs="仿宋"/>
          <w:b/>
          <w:bCs/>
          <w:kern w:val="2"/>
          <w:sz w:val="32"/>
          <w:szCs w:val="32"/>
        </w:rPr>
      </w:pPr>
      <w:r>
        <w:rPr>
          <w:rFonts w:hint="eastAsia" w:ascii="仿宋" w:hAnsi="仿宋" w:eastAsia="仿宋" w:cs="仿宋"/>
          <w:b/>
          <w:bCs/>
          <w:kern w:val="2"/>
          <w:sz w:val="32"/>
          <w:szCs w:val="32"/>
        </w:rPr>
        <w:t>七、成果要求</w:t>
      </w:r>
    </w:p>
    <w:p>
      <w:pPr>
        <w:widowControl w:val="0"/>
        <w:spacing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提交环境损害评估司法鉴定意见书。</w:t>
      </w:r>
    </w:p>
    <w:p>
      <w:pPr>
        <w:widowControl w:val="0"/>
        <w:spacing w:line="360" w:lineRule="auto"/>
        <w:ind w:firstLine="643" w:firstLineChars="200"/>
        <w:jc w:val="both"/>
        <w:rPr>
          <w:rFonts w:ascii="仿宋" w:hAnsi="仿宋" w:eastAsia="仿宋" w:cs="仿宋"/>
          <w:b/>
          <w:bCs/>
          <w:kern w:val="2"/>
          <w:sz w:val="32"/>
          <w:szCs w:val="32"/>
        </w:rPr>
      </w:pPr>
      <w:r>
        <w:rPr>
          <w:rFonts w:hint="eastAsia" w:ascii="仿宋" w:hAnsi="仿宋" w:eastAsia="仿宋" w:cs="仿宋"/>
          <w:b/>
          <w:bCs/>
          <w:kern w:val="2"/>
          <w:sz w:val="32"/>
          <w:szCs w:val="32"/>
        </w:rPr>
        <w:t>八、拟确定成交供应商数量</w:t>
      </w:r>
    </w:p>
    <w:p>
      <w:pPr>
        <w:widowControl w:val="0"/>
        <w:spacing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1家。</w:t>
      </w:r>
    </w:p>
    <w:p>
      <w:pPr>
        <w:widowControl w:val="0"/>
        <w:adjustRightInd w:val="0"/>
        <w:spacing w:line="360" w:lineRule="auto"/>
        <w:ind w:firstLine="643" w:firstLineChars="200"/>
        <w:rPr>
          <w:rFonts w:ascii="仿宋" w:hAnsi="仿宋" w:eastAsia="仿宋" w:cs="仿宋"/>
          <w:b/>
          <w:bCs/>
          <w:kern w:val="2"/>
          <w:sz w:val="32"/>
          <w:szCs w:val="32"/>
        </w:rPr>
      </w:pPr>
      <w:r>
        <w:rPr>
          <w:rFonts w:hint="eastAsia" w:ascii="仿宋" w:hAnsi="仿宋" w:eastAsia="仿宋" w:cs="仿宋"/>
          <w:b/>
          <w:bCs/>
          <w:kern w:val="2"/>
          <w:sz w:val="32"/>
          <w:szCs w:val="32"/>
        </w:rPr>
        <w:t>九、时间要求</w:t>
      </w:r>
    </w:p>
    <w:p>
      <w:pPr>
        <w:widowControl w:val="0"/>
        <w:adjustRightInd w:val="0"/>
        <w:spacing w:line="360" w:lineRule="auto"/>
        <w:ind w:firstLine="640" w:firstLineChars="200"/>
        <w:rPr>
          <w:rFonts w:ascii="仿宋" w:hAnsi="仿宋" w:eastAsia="仿宋" w:cs="仿宋"/>
          <w:kern w:val="2"/>
          <w:sz w:val="32"/>
          <w:szCs w:val="32"/>
        </w:rPr>
      </w:pPr>
      <w:r>
        <w:rPr>
          <w:rFonts w:hint="eastAsia" w:ascii="仿宋" w:hAnsi="仿宋" w:eastAsia="仿宋" w:cs="仿宋"/>
          <w:kern w:val="2"/>
          <w:sz w:val="32"/>
          <w:szCs w:val="32"/>
        </w:rPr>
        <w:t>在所有资料到齐后6</w:t>
      </w:r>
      <w:r>
        <w:rPr>
          <w:rFonts w:ascii="仿宋" w:hAnsi="仿宋" w:eastAsia="仿宋" w:cs="仿宋"/>
          <w:kern w:val="2"/>
          <w:sz w:val="32"/>
          <w:szCs w:val="32"/>
        </w:rPr>
        <w:t>0</w:t>
      </w:r>
      <w:r>
        <w:rPr>
          <w:rFonts w:hint="eastAsia" w:ascii="仿宋" w:hAnsi="仿宋" w:eastAsia="仿宋" w:cs="仿宋"/>
          <w:kern w:val="2"/>
          <w:sz w:val="32"/>
          <w:szCs w:val="32"/>
        </w:rPr>
        <w:t>个工作日内出具司法鉴定意见。</w:t>
      </w:r>
    </w:p>
    <w:p>
      <w:pPr>
        <w:widowControl w:val="0"/>
        <w:spacing w:line="560" w:lineRule="exact"/>
        <w:ind w:firstLine="630" w:firstLineChars="196"/>
        <w:rPr>
          <w:rFonts w:ascii="仿宋" w:hAnsi="仿宋" w:eastAsia="仿宋" w:cs="仿宋"/>
          <w:b/>
          <w:bCs/>
          <w:sz w:val="32"/>
          <w:szCs w:val="32"/>
        </w:rPr>
      </w:pPr>
      <w:r>
        <w:rPr>
          <w:rFonts w:hint="eastAsia" w:ascii="仿宋" w:hAnsi="仿宋" w:eastAsia="仿宋" w:cs="仿宋"/>
          <w:b/>
          <w:bCs/>
          <w:sz w:val="32"/>
          <w:szCs w:val="32"/>
        </w:rPr>
        <w:t>十、评分办法及评分标准</w:t>
      </w:r>
    </w:p>
    <w:p>
      <w:pPr>
        <w:widowControl w:val="0"/>
        <w:spacing w:line="360" w:lineRule="auto"/>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本项目采用综合评分法，评分统计方法采用百分制（满分</w:t>
      </w:r>
      <w:r>
        <w:rPr>
          <w:rFonts w:ascii="仿宋" w:hAnsi="仿宋" w:eastAsia="仿宋" w:cs="仿宋"/>
          <w:kern w:val="2"/>
          <w:sz w:val="32"/>
          <w:szCs w:val="32"/>
        </w:rPr>
        <w:t>100</w:t>
      </w:r>
      <w:r>
        <w:rPr>
          <w:rFonts w:hint="eastAsia" w:ascii="仿宋" w:hAnsi="仿宋" w:eastAsia="仿宋" w:cs="仿宋"/>
          <w:kern w:val="2"/>
          <w:sz w:val="32"/>
          <w:szCs w:val="32"/>
        </w:rPr>
        <w:t>分），将全部评审小组成员评分直接进行算术平均，小数点后保留</w:t>
      </w:r>
      <w:r>
        <w:rPr>
          <w:rFonts w:ascii="仿宋" w:hAnsi="仿宋" w:eastAsia="仿宋" w:cs="仿宋"/>
          <w:kern w:val="2"/>
          <w:sz w:val="32"/>
          <w:szCs w:val="32"/>
        </w:rPr>
        <w:t>2</w:t>
      </w:r>
      <w:r>
        <w:rPr>
          <w:rFonts w:hint="eastAsia" w:ascii="仿宋" w:hAnsi="仿宋" w:eastAsia="仿宋" w:cs="仿宋"/>
          <w:kern w:val="2"/>
          <w:sz w:val="32"/>
          <w:szCs w:val="32"/>
        </w:rPr>
        <w:t>位。按评审后得分由高到低顺序排列，得分相同的，按报价由低到高顺序排列，得分且报价相同的，按技术指标优劣顺序排列，由评审小组确定成交供应商。</w:t>
      </w:r>
    </w:p>
    <w:p>
      <w:pPr>
        <w:widowControl w:val="0"/>
        <w:spacing w:line="360" w:lineRule="auto"/>
        <w:jc w:val="center"/>
        <w:rPr>
          <w:rFonts w:ascii="仿宋" w:hAnsi="仿宋" w:eastAsia="仿宋" w:cs="仿宋"/>
          <w:b/>
          <w:bCs/>
          <w:kern w:val="2"/>
        </w:rPr>
      </w:pPr>
      <w:r>
        <w:rPr>
          <w:rFonts w:hint="eastAsia" w:ascii="仿宋" w:hAnsi="仿宋" w:eastAsia="仿宋" w:cs="仿宋"/>
          <w:b/>
          <w:bCs/>
          <w:kern w:val="2"/>
        </w:rPr>
        <w:t>评分标准</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398"/>
        <w:gridCol w:w="5763"/>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b/>
                <w:bCs/>
              </w:rPr>
            </w:pPr>
            <w:r>
              <w:rPr>
                <w:rFonts w:hint="eastAsia" w:eastAsia="仿宋"/>
                <w:b/>
                <w:bCs/>
              </w:rPr>
              <w:t>序号</w:t>
            </w:r>
          </w:p>
        </w:tc>
        <w:tc>
          <w:tcPr>
            <w:tcW w:w="820" w:type="pct"/>
            <w:tcBorders>
              <w:top w:val="single" w:color="auto" w:sz="4" w:space="0"/>
              <w:left w:val="nil"/>
              <w:bottom w:val="single" w:color="auto" w:sz="4" w:space="0"/>
              <w:right w:val="single" w:color="auto" w:sz="4" w:space="0"/>
            </w:tcBorders>
            <w:vAlign w:val="center"/>
          </w:tcPr>
          <w:p>
            <w:pPr>
              <w:jc w:val="center"/>
              <w:rPr>
                <w:rFonts w:eastAsia="仿宋"/>
                <w:b/>
                <w:bCs/>
              </w:rPr>
            </w:pPr>
            <w:r>
              <w:rPr>
                <w:rFonts w:hint="eastAsia" w:eastAsia="仿宋"/>
                <w:b/>
                <w:bCs/>
              </w:rPr>
              <w:t>评分因素</w:t>
            </w:r>
          </w:p>
        </w:tc>
        <w:tc>
          <w:tcPr>
            <w:tcW w:w="3381" w:type="pct"/>
            <w:tcBorders>
              <w:top w:val="single" w:color="auto" w:sz="4" w:space="0"/>
              <w:left w:val="nil"/>
              <w:bottom w:val="single" w:color="auto" w:sz="4" w:space="0"/>
              <w:right w:val="single" w:color="auto" w:sz="4" w:space="0"/>
            </w:tcBorders>
            <w:vAlign w:val="center"/>
          </w:tcPr>
          <w:p>
            <w:pPr>
              <w:jc w:val="center"/>
              <w:rPr>
                <w:rFonts w:eastAsia="仿宋"/>
                <w:b/>
                <w:bCs/>
              </w:rPr>
            </w:pPr>
            <w:r>
              <w:rPr>
                <w:rFonts w:hint="eastAsia" w:eastAsia="仿宋"/>
                <w:b/>
                <w:bCs/>
              </w:rPr>
              <w:t>评分标准</w:t>
            </w:r>
          </w:p>
        </w:tc>
        <w:tc>
          <w:tcPr>
            <w:tcW w:w="425" w:type="pct"/>
            <w:tcBorders>
              <w:top w:val="single" w:color="auto" w:sz="4" w:space="0"/>
              <w:left w:val="nil"/>
              <w:bottom w:val="single" w:color="auto" w:sz="4" w:space="0"/>
              <w:right w:val="single" w:color="auto" w:sz="4" w:space="0"/>
            </w:tcBorders>
            <w:vAlign w:val="center"/>
          </w:tcPr>
          <w:p>
            <w:pPr>
              <w:rPr>
                <w:rFonts w:eastAsia="仿宋"/>
                <w:b/>
                <w:bCs/>
              </w:rPr>
            </w:pPr>
            <w:r>
              <w:rPr>
                <w:rFonts w:hint="eastAsia" w:eastAsia="仿宋"/>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1</w:t>
            </w:r>
          </w:p>
        </w:tc>
        <w:tc>
          <w:tcPr>
            <w:tcW w:w="820" w:type="pct"/>
            <w:tcBorders>
              <w:top w:val="single" w:color="auto" w:sz="4" w:space="0"/>
              <w:left w:val="nil"/>
              <w:bottom w:val="single" w:color="auto" w:sz="4" w:space="0"/>
              <w:right w:val="single" w:color="auto" w:sz="4" w:space="0"/>
            </w:tcBorders>
            <w:vAlign w:val="center"/>
          </w:tcPr>
          <w:p>
            <w:pPr>
              <w:jc w:val="center"/>
              <w:rPr>
                <w:rFonts w:eastAsia="仿宋"/>
              </w:rPr>
            </w:pPr>
            <w:r>
              <w:rPr>
                <w:rFonts w:hint="eastAsia" w:eastAsia="仿宋"/>
              </w:rPr>
              <w:t>价格</w:t>
            </w:r>
          </w:p>
          <w:p>
            <w:pPr>
              <w:jc w:val="center"/>
              <w:rPr>
                <w:rFonts w:eastAsia="仿宋"/>
              </w:rPr>
            </w:pPr>
            <w:r>
              <w:rPr>
                <w:rFonts w:hint="eastAsia" w:eastAsia="仿宋"/>
              </w:rPr>
              <w:t>（10分）</w:t>
            </w: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满足招标文件要求，且投标价格最低的投标报价为评标基准价，其价格分为满分。其他投标人的价格分按照下列公式计算（小数点后保留2位）。</w:t>
            </w:r>
          </w:p>
          <w:p>
            <w:pPr>
              <w:jc w:val="center"/>
              <w:rPr>
                <w:rFonts w:eastAsia="仿宋"/>
              </w:rPr>
            </w:pPr>
            <w:r>
              <w:rPr>
                <w:rFonts w:hint="eastAsia" w:eastAsia="仿宋"/>
              </w:rPr>
              <w:t>投标报价得分=（评标基准价/投标报价）×10</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2.1</w:t>
            </w:r>
          </w:p>
        </w:tc>
        <w:tc>
          <w:tcPr>
            <w:tcW w:w="820" w:type="pct"/>
            <w:vMerge w:val="restart"/>
            <w:tcBorders>
              <w:top w:val="single" w:color="auto" w:sz="4" w:space="0"/>
              <w:left w:val="nil"/>
              <w:right w:val="single" w:color="auto" w:sz="4" w:space="0"/>
            </w:tcBorders>
            <w:vAlign w:val="center"/>
          </w:tcPr>
          <w:p>
            <w:pPr>
              <w:jc w:val="center"/>
              <w:rPr>
                <w:rFonts w:eastAsia="仿宋"/>
              </w:rPr>
            </w:pPr>
            <w:r>
              <w:rPr>
                <w:rFonts w:hint="eastAsia" w:eastAsia="仿宋"/>
              </w:rPr>
              <w:t>技术方案（45分）</w:t>
            </w: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项目组织实施方案：项目组织实施方案应切实可行，工作流程合理，根据招标文件及各供应商投标文件的相关内容逐项进行打分，项目组织实施方案优得14分，项目组织实施方案良得10分，项目组织实施方案一般得6分，差的或没有的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2.2</w:t>
            </w:r>
          </w:p>
        </w:tc>
        <w:tc>
          <w:tcPr>
            <w:tcW w:w="820" w:type="pct"/>
            <w:vMerge w:val="continue"/>
            <w:tcBorders>
              <w:left w:val="nil"/>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采样检测方案：根据国家相关规范的要求对组织开展的采样检测方案进行打分，采样检测方案优得15分，采样检测方案良得12分，采样检测方案一般得9分，差的或没有的不得分。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2.3</w:t>
            </w:r>
          </w:p>
        </w:tc>
        <w:tc>
          <w:tcPr>
            <w:tcW w:w="820" w:type="pct"/>
            <w:vMerge w:val="continue"/>
            <w:tcBorders>
              <w:left w:val="nil"/>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进度安排：根据供应商针对本项目的工作计划安排、工作进展及相关保障划分是否清晰明确，清晰明确性优得8分，清晰明确性良得5分，清晰明确性一般得3分，差的或没有的不得分。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2.4</w:t>
            </w:r>
          </w:p>
        </w:tc>
        <w:tc>
          <w:tcPr>
            <w:tcW w:w="820" w:type="pct"/>
            <w:vMerge w:val="continue"/>
            <w:tcBorders>
              <w:left w:val="nil"/>
              <w:bottom w:val="single" w:color="auto" w:sz="4" w:space="0"/>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质量保证措施：根据供应商针对本项目的质量保证措施是否科学严谨、切实可行进行打分，质量保证措施优得8分，质量保证措施良得5分，质量保证措施一般得3分，差的或没有的不得分。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3.1</w:t>
            </w:r>
          </w:p>
        </w:tc>
        <w:tc>
          <w:tcPr>
            <w:tcW w:w="820" w:type="pct"/>
            <w:vMerge w:val="restart"/>
            <w:tcBorders>
              <w:top w:val="single" w:color="auto" w:sz="4" w:space="0"/>
              <w:left w:val="nil"/>
              <w:right w:val="single" w:color="auto" w:sz="4" w:space="0"/>
            </w:tcBorders>
            <w:vAlign w:val="center"/>
          </w:tcPr>
          <w:p>
            <w:pPr>
              <w:jc w:val="center"/>
              <w:rPr>
                <w:rFonts w:eastAsia="仿宋"/>
              </w:rPr>
            </w:pPr>
            <w:r>
              <w:rPr>
                <w:rFonts w:hint="eastAsia" w:eastAsia="仿宋"/>
              </w:rPr>
              <w:t>人员配备（20分）</w:t>
            </w: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本项目需提供1名项目负责人，项目负责人具备环保类教授或正高级工程师职称的技术人员，得</w:t>
            </w:r>
            <w:r>
              <w:rPr>
                <w:rFonts w:eastAsia="仿宋"/>
              </w:rPr>
              <w:t>2</w:t>
            </w:r>
            <w:r>
              <w:rPr>
                <w:rFonts w:hint="eastAsia" w:eastAsia="仿宋"/>
              </w:rPr>
              <w:t>分；获得省部级及以上科技奖励的，加</w:t>
            </w:r>
            <w:r>
              <w:rPr>
                <w:rFonts w:eastAsia="仿宋"/>
              </w:rPr>
              <w:t>2</w:t>
            </w:r>
            <w:r>
              <w:rPr>
                <w:rFonts w:hint="eastAsia" w:eastAsia="仿宋"/>
              </w:rPr>
              <w:t>分；具备注册环保工程师的，加</w:t>
            </w:r>
            <w:r>
              <w:rPr>
                <w:rFonts w:eastAsia="仿宋"/>
              </w:rPr>
              <w:t>2</w:t>
            </w:r>
            <w:r>
              <w:rPr>
                <w:rFonts w:hint="eastAsia" w:eastAsia="仿宋"/>
              </w:rPr>
              <w:t>分；具备注册环境影响评价工程师，加</w:t>
            </w:r>
            <w:r>
              <w:rPr>
                <w:rFonts w:eastAsia="仿宋"/>
              </w:rPr>
              <w:t>2</w:t>
            </w:r>
            <w:r>
              <w:rPr>
                <w:rFonts w:hint="eastAsia" w:eastAsia="仿宋"/>
              </w:rPr>
              <w:t>分；具备司法鉴定人执业证，得2分。本项最多得1</w:t>
            </w:r>
            <w:r>
              <w:rPr>
                <w:rFonts w:eastAsia="仿宋"/>
              </w:rPr>
              <w:t>0</w:t>
            </w:r>
            <w:r>
              <w:rPr>
                <w:rFonts w:hint="eastAsia" w:eastAsia="仿宋"/>
              </w:rPr>
              <w:t>分。（提供相关证书复印件加盖企业公章。）</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3.2</w:t>
            </w:r>
          </w:p>
        </w:tc>
        <w:tc>
          <w:tcPr>
            <w:tcW w:w="820" w:type="pct"/>
            <w:vMerge w:val="continue"/>
            <w:tcBorders>
              <w:left w:val="nil"/>
              <w:bottom w:val="single" w:color="auto" w:sz="4" w:space="0"/>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项目组成员（除项目负责人外）具备注册咨询工程师或注册环保工程师，</w:t>
            </w:r>
            <w:r>
              <w:rPr>
                <w:rFonts w:eastAsia="仿宋"/>
              </w:rPr>
              <w:t>5</w:t>
            </w:r>
            <w:r>
              <w:rPr>
                <w:rFonts w:hint="eastAsia" w:eastAsia="仿宋"/>
              </w:rPr>
              <w:t>名以上的得</w:t>
            </w:r>
            <w:r>
              <w:rPr>
                <w:rFonts w:eastAsia="仿宋"/>
              </w:rPr>
              <w:t>5</w:t>
            </w:r>
            <w:r>
              <w:rPr>
                <w:rFonts w:hint="eastAsia" w:eastAsia="仿宋"/>
              </w:rPr>
              <w:t>分，低于5名的不得分。具备司法鉴定人执业证，5名以上得</w:t>
            </w:r>
            <w:r>
              <w:rPr>
                <w:rFonts w:eastAsia="仿宋"/>
              </w:rPr>
              <w:t>5</w:t>
            </w:r>
            <w:r>
              <w:rPr>
                <w:rFonts w:hint="eastAsia" w:eastAsia="仿宋"/>
              </w:rPr>
              <w:t>分，低于5名不得分。本项最多得1</w:t>
            </w:r>
            <w:r>
              <w:rPr>
                <w:rFonts w:eastAsia="仿宋"/>
              </w:rPr>
              <w:t>0</w:t>
            </w:r>
            <w:r>
              <w:rPr>
                <w:rFonts w:hint="eastAsia" w:eastAsia="仿宋"/>
              </w:rPr>
              <w:t>分。（提供相关证书复印件加盖企业公章。）</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4.1</w:t>
            </w:r>
          </w:p>
        </w:tc>
        <w:tc>
          <w:tcPr>
            <w:tcW w:w="820" w:type="pct"/>
            <w:vMerge w:val="restart"/>
            <w:tcBorders>
              <w:top w:val="single" w:color="auto" w:sz="4" w:space="0"/>
              <w:left w:val="nil"/>
              <w:right w:val="single" w:color="auto" w:sz="4" w:space="0"/>
            </w:tcBorders>
            <w:vAlign w:val="center"/>
          </w:tcPr>
          <w:p>
            <w:pPr>
              <w:jc w:val="center"/>
              <w:rPr>
                <w:rFonts w:eastAsia="仿宋"/>
              </w:rPr>
            </w:pPr>
            <w:r>
              <w:rPr>
                <w:rFonts w:hint="eastAsia" w:eastAsia="仿宋"/>
              </w:rPr>
              <w:t>单位能力（25分）</w:t>
            </w: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环境损害评估业绩：2016年1月1日以来，投标人承担过环境损害评估类工作的，每承担过1个项目得2分，最多得6分。（提供类似项目的合同等相关证明。合同内容至少包括合同首页、标的金额所在页、签字盖章页，复印件加盖企业公章，未提供则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4.2</w:t>
            </w:r>
          </w:p>
        </w:tc>
        <w:tc>
          <w:tcPr>
            <w:tcW w:w="820" w:type="pct"/>
            <w:vMerge w:val="continue"/>
            <w:tcBorders>
              <w:left w:val="nil"/>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危废鉴别相关科研课题：投标人具有省级危废鉴别相关科研课题的，每一个课题得2分，最高得</w:t>
            </w:r>
            <w:r>
              <w:rPr>
                <w:rFonts w:eastAsia="仿宋"/>
              </w:rPr>
              <w:t>4</w:t>
            </w:r>
            <w:r>
              <w:rPr>
                <w:rFonts w:hint="eastAsia" w:eastAsia="仿宋"/>
              </w:rPr>
              <w:t>分。（提供相关证明材料复印件加盖企业公章，未提供则不得分。）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4.3</w:t>
            </w:r>
          </w:p>
        </w:tc>
        <w:tc>
          <w:tcPr>
            <w:tcW w:w="820" w:type="pct"/>
            <w:vMerge w:val="continue"/>
            <w:tcBorders>
              <w:left w:val="nil"/>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投标人具备实验室CMA认证资质的，得2分；具有国家颁发的水文水资源调查评价证书得3分，本项最高得5分。（提供相关证书复印件加盖企业公章，未提供则不得分。）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4.4</w:t>
            </w:r>
          </w:p>
        </w:tc>
        <w:tc>
          <w:tcPr>
            <w:tcW w:w="820" w:type="pct"/>
            <w:vMerge w:val="continue"/>
            <w:tcBorders>
              <w:left w:val="nil"/>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投标人具备工程设计环境工程资质证书，资质类别具有环境工程（水污染防治工程方向）得2分；资质类别具有环境工程（污染修复工程方向）得2分；若环境工程专项资质类别等级具备甲级资质的得4分；乙级资质的得2分，其他不得分。本项最高得</w:t>
            </w:r>
            <w:r>
              <w:rPr>
                <w:rFonts w:eastAsia="仿宋"/>
              </w:rPr>
              <w:t>8</w:t>
            </w:r>
            <w:r>
              <w:rPr>
                <w:rFonts w:hint="eastAsia" w:eastAsia="仿宋"/>
              </w:rPr>
              <w:t>分。（提供相关证书复印件加盖企业公章，未提供则不得分。）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r>
              <w:rPr>
                <w:rFonts w:hint="eastAsia" w:eastAsia="仿宋"/>
              </w:rPr>
              <w:t>4.5</w:t>
            </w:r>
          </w:p>
        </w:tc>
        <w:tc>
          <w:tcPr>
            <w:tcW w:w="820" w:type="pct"/>
            <w:vMerge w:val="continue"/>
            <w:tcBorders>
              <w:left w:val="nil"/>
              <w:bottom w:val="single" w:color="auto" w:sz="4" w:space="0"/>
              <w:right w:val="single" w:color="auto" w:sz="4" w:space="0"/>
            </w:tcBorders>
            <w:vAlign w:val="center"/>
          </w:tcPr>
          <w:p>
            <w:pPr>
              <w:jc w:val="center"/>
              <w:rPr>
                <w:rFonts w:eastAsia="仿宋"/>
              </w:rPr>
            </w:pP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r>
              <w:rPr>
                <w:rFonts w:hint="eastAsia" w:eastAsia="仿宋"/>
              </w:rPr>
              <w:t>投标人具有ISO9001 质量管理体系认证证书的，得1分；具有ISO14001 环境管理体系认证证书的，得1分；总分2分。（提供相关证书复印件加盖企业公章，未提供则不得分。）</w:t>
            </w: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374" w:type="pct"/>
            <w:tcBorders>
              <w:top w:val="single" w:color="auto" w:sz="4" w:space="0"/>
              <w:left w:val="single" w:color="auto" w:sz="4" w:space="0"/>
              <w:bottom w:val="single" w:color="auto" w:sz="4" w:space="0"/>
              <w:right w:val="single" w:color="auto" w:sz="4" w:space="0"/>
            </w:tcBorders>
            <w:vAlign w:val="center"/>
          </w:tcPr>
          <w:p>
            <w:pPr>
              <w:jc w:val="center"/>
              <w:rPr>
                <w:rFonts w:eastAsia="仿宋"/>
              </w:rPr>
            </w:pPr>
          </w:p>
        </w:tc>
        <w:tc>
          <w:tcPr>
            <w:tcW w:w="820" w:type="pct"/>
            <w:tcBorders>
              <w:top w:val="single" w:color="auto" w:sz="4" w:space="0"/>
              <w:left w:val="nil"/>
              <w:bottom w:val="single" w:color="auto" w:sz="4" w:space="0"/>
              <w:right w:val="single" w:color="auto" w:sz="4" w:space="0"/>
            </w:tcBorders>
            <w:vAlign w:val="center"/>
          </w:tcPr>
          <w:p>
            <w:pPr>
              <w:jc w:val="center"/>
              <w:rPr>
                <w:rFonts w:eastAsia="仿宋"/>
                <w:b/>
                <w:bCs/>
              </w:rPr>
            </w:pPr>
            <w:r>
              <w:rPr>
                <w:rFonts w:hint="eastAsia" w:eastAsia="仿宋"/>
                <w:b/>
                <w:bCs/>
              </w:rPr>
              <w:t>合计</w:t>
            </w:r>
          </w:p>
        </w:tc>
        <w:tc>
          <w:tcPr>
            <w:tcW w:w="3381" w:type="pct"/>
            <w:tcBorders>
              <w:top w:val="single" w:color="auto" w:sz="4" w:space="0"/>
              <w:left w:val="nil"/>
              <w:bottom w:val="single" w:color="auto" w:sz="4" w:space="0"/>
              <w:right w:val="single" w:color="auto" w:sz="4" w:space="0"/>
            </w:tcBorders>
            <w:vAlign w:val="center"/>
          </w:tcPr>
          <w:p>
            <w:pPr>
              <w:jc w:val="both"/>
              <w:rPr>
                <w:rFonts w:eastAsia="仿宋"/>
              </w:rPr>
            </w:pPr>
          </w:p>
        </w:tc>
        <w:tc>
          <w:tcPr>
            <w:tcW w:w="425" w:type="pct"/>
            <w:tcBorders>
              <w:top w:val="single" w:color="auto" w:sz="4" w:space="0"/>
              <w:left w:val="nil"/>
              <w:bottom w:val="single" w:color="auto" w:sz="4" w:space="0"/>
              <w:right w:val="single" w:color="auto" w:sz="4" w:space="0"/>
            </w:tcBorders>
            <w:vAlign w:val="center"/>
          </w:tcPr>
          <w:p>
            <w:pPr>
              <w:rPr>
                <w:rFonts w:eastAsia="仿宋"/>
              </w:rPr>
            </w:pPr>
            <w:r>
              <w:rPr>
                <w:rFonts w:hint="eastAsia" w:eastAsia="仿宋"/>
              </w:rPr>
              <w:t>100</w:t>
            </w:r>
          </w:p>
        </w:tc>
      </w:tr>
    </w:tbl>
    <w:p>
      <w:pPr>
        <w:autoSpaceDE w:val="0"/>
        <w:rPr>
          <w:rFonts w:ascii="仿宋" w:hAnsi="仿宋" w:eastAsia="仿宋" w:cs="仿宋"/>
          <w:b/>
          <w:sz w:val="32"/>
          <w:szCs w:val="32"/>
        </w:rPr>
      </w:pPr>
      <w:r>
        <w:rPr>
          <w:rFonts w:hint="eastAsia" w:ascii="仿宋" w:hAnsi="仿宋" w:eastAsia="仿宋"/>
          <w:b/>
          <w:bCs/>
          <w:sz w:val="28"/>
          <w:szCs w:val="28"/>
        </w:rPr>
        <w:t>说明 :</w:t>
      </w:r>
      <w:r>
        <w:rPr>
          <w:rFonts w:hint="eastAsia" w:ascii="仿宋" w:hAnsi="仿宋" w:eastAsia="仿宋"/>
          <w:b/>
          <w:bCs/>
          <w:sz w:val="28"/>
          <w:szCs w:val="28"/>
          <w:u w:val="single"/>
        </w:rPr>
        <w:t>所有认证、证明和业绩均需提供有效的复印件（扫描件），加盖公章。</w:t>
      </w:r>
    </w:p>
    <w:p>
      <w:pPr>
        <w:spacing w:line="560" w:lineRule="exact"/>
        <w:ind w:firstLine="630" w:firstLineChars="196"/>
        <w:rPr>
          <w:rFonts w:ascii="仿宋" w:hAnsi="仿宋" w:eastAsia="仿宋" w:cs="仿宋"/>
          <w:b/>
          <w:sz w:val="32"/>
          <w:szCs w:val="32"/>
        </w:rPr>
      </w:pPr>
      <w:r>
        <w:rPr>
          <w:rFonts w:hint="eastAsia" w:ascii="仿宋" w:hAnsi="仿宋" w:eastAsia="仿宋" w:cs="仿宋"/>
          <w:b/>
          <w:sz w:val="32"/>
          <w:szCs w:val="32"/>
        </w:rPr>
        <w:t>十一、报名截止时间及地点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lang w:val="en-US" w:eastAsia="zh-CN"/>
        </w:rPr>
        <w:t>65629932</w:t>
      </w:r>
      <w:r>
        <w:rPr>
          <w:rFonts w:hint="eastAsia" w:ascii="仿宋" w:hAnsi="仿宋" w:eastAsia="仿宋" w:cs="仿宋"/>
          <w:sz w:val="32"/>
          <w:szCs w:val="32"/>
        </w:rPr>
        <w:t>。联系人：</w:t>
      </w:r>
      <w:r>
        <w:rPr>
          <w:rFonts w:hint="eastAsia" w:ascii="仿宋" w:hAnsi="仿宋" w:eastAsia="仿宋" w:cs="仿宋"/>
          <w:sz w:val="32"/>
          <w:szCs w:val="32"/>
          <w:u w:val="single"/>
          <w:lang w:eastAsia="zh-CN"/>
        </w:rPr>
        <w:t>吾瑜吉</w:t>
      </w:r>
      <w:r>
        <w:rPr>
          <w:rFonts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报名及材料报送地点：</w:t>
      </w:r>
      <w:r>
        <w:rPr>
          <w:rFonts w:ascii="Times New Roman" w:hAnsi="Times New Roman" w:eastAsia="华文仿宋"/>
          <w:kern w:val="2"/>
          <w:sz w:val="32"/>
          <w:szCs w:val="32"/>
        </w:rPr>
        <w:t>吴中商务中心</w:t>
      </w:r>
      <w:r>
        <w:rPr>
          <w:rFonts w:hint="eastAsia" w:eastAsia="华文仿宋"/>
          <w:kern w:val="2"/>
          <w:sz w:val="32"/>
          <w:szCs w:val="32"/>
          <w:lang w:val="en-US" w:eastAsia="zh-CN"/>
        </w:rPr>
        <w:t>B</w:t>
      </w:r>
      <w:r>
        <w:rPr>
          <w:rFonts w:ascii="Times New Roman" w:hAnsi="Times New Roman" w:eastAsia="华文仿宋"/>
          <w:kern w:val="2"/>
          <w:sz w:val="32"/>
          <w:szCs w:val="32"/>
        </w:rPr>
        <w:t>楼</w:t>
      </w:r>
      <w:r>
        <w:rPr>
          <w:rFonts w:hint="eastAsia" w:eastAsia="华文仿宋"/>
          <w:kern w:val="2"/>
          <w:sz w:val="32"/>
          <w:szCs w:val="32"/>
          <w:highlight w:val="none"/>
          <w:lang w:val="en-US" w:eastAsia="zh-CN"/>
        </w:rPr>
        <w:t>1217</w:t>
      </w:r>
      <w:r>
        <w:rPr>
          <w:rFonts w:ascii="Times New Roman" w:hAnsi="Times New Roman" w:eastAsia="华文仿宋"/>
          <w:kern w:val="2"/>
          <w:sz w:val="32"/>
          <w:szCs w:val="32"/>
        </w:rPr>
        <w:t>会议室</w:t>
      </w:r>
      <w:r>
        <w:rPr>
          <w:rFonts w:hint="eastAsia" w:ascii="仿宋" w:hAnsi="仿宋" w:eastAsia="仿宋" w:cs="仿宋"/>
          <w:sz w:val="32"/>
          <w:szCs w:val="32"/>
        </w:rPr>
        <w:t>。</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sz w:val="32"/>
          <w:szCs w:val="32"/>
        </w:rPr>
        <w:t>1、项目响应截止时间：</w:t>
      </w:r>
      <w:r>
        <w:rPr>
          <w:rFonts w:ascii="Times New Roman" w:hAnsi="Times New Roman" w:eastAsia="华文仿宋"/>
          <w:kern w:val="2"/>
          <w:sz w:val="32"/>
          <w:szCs w:val="32"/>
        </w:rPr>
        <w:t>202</w:t>
      </w:r>
      <w:r>
        <w:rPr>
          <w:rFonts w:hint="eastAsia" w:ascii="Times New Roman" w:hAnsi="Times New Roman" w:eastAsia="华文仿宋"/>
          <w:kern w:val="2"/>
          <w:sz w:val="32"/>
          <w:szCs w:val="32"/>
        </w:rPr>
        <w:t>1</w:t>
      </w:r>
      <w:r>
        <w:rPr>
          <w:rFonts w:ascii="Times New Roman" w:hAnsi="Times New Roman" w:eastAsia="华文仿宋"/>
          <w:kern w:val="2"/>
          <w:sz w:val="32"/>
          <w:szCs w:val="32"/>
        </w:rPr>
        <w:t>年</w:t>
      </w:r>
      <w:r>
        <w:rPr>
          <w:rFonts w:hint="eastAsia" w:eastAsia="华文仿宋"/>
          <w:kern w:val="2"/>
          <w:sz w:val="32"/>
          <w:szCs w:val="32"/>
          <w:highlight w:val="none"/>
          <w:lang w:val="en-US" w:eastAsia="zh-CN"/>
        </w:rPr>
        <w:t>9</w:t>
      </w:r>
      <w:r>
        <w:rPr>
          <w:rFonts w:ascii="Times New Roman" w:hAnsi="Times New Roman" w:eastAsia="华文仿宋"/>
          <w:kern w:val="2"/>
          <w:sz w:val="32"/>
          <w:szCs w:val="32"/>
          <w:highlight w:val="none"/>
        </w:rPr>
        <w:t>月</w:t>
      </w:r>
      <w:r>
        <w:rPr>
          <w:rFonts w:hint="eastAsia" w:eastAsia="华文仿宋"/>
          <w:kern w:val="2"/>
          <w:sz w:val="32"/>
          <w:szCs w:val="32"/>
          <w:highlight w:val="none"/>
          <w:lang w:val="en-US" w:eastAsia="zh-CN"/>
        </w:rPr>
        <w:t>14</w:t>
      </w:r>
      <w:r>
        <w:rPr>
          <w:rFonts w:ascii="Times New Roman" w:hAnsi="Times New Roman" w:eastAsia="华文仿宋"/>
          <w:kern w:val="2"/>
          <w:sz w:val="32"/>
          <w:szCs w:val="32"/>
          <w:highlight w:val="none"/>
        </w:rPr>
        <w:t>日</w:t>
      </w:r>
      <w:r>
        <w:rPr>
          <w:rFonts w:hint="eastAsia" w:eastAsia="华文仿宋"/>
          <w:kern w:val="2"/>
          <w:sz w:val="32"/>
          <w:szCs w:val="32"/>
          <w:highlight w:val="none"/>
          <w:lang w:val="en-US" w:eastAsia="zh-CN"/>
        </w:rPr>
        <w:t>17</w:t>
      </w:r>
      <w:r>
        <w:rPr>
          <w:rFonts w:ascii="Times New Roman" w:hAnsi="Times New Roman" w:eastAsia="华文仿宋"/>
          <w:kern w:val="2"/>
          <w:sz w:val="32"/>
          <w:szCs w:val="32"/>
          <w:highlight w:val="none"/>
        </w:rPr>
        <w:t>：30</w:t>
      </w:r>
      <w:r>
        <w:rPr>
          <w:rFonts w:ascii="Times New Roman" w:hAnsi="Times New Roman" w:eastAsia="华文仿宋"/>
          <w:kern w:val="2"/>
          <w:sz w:val="32"/>
          <w:szCs w:val="32"/>
        </w:rPr>
        <w:t>时</w:t>
      </w:r>
      <w:r>
        <w:rPr>
          <w:rFonts w:hint="eastAsia" w:ascii="仿宋" w:hAnsi="仿宋" w:eastAsia="仿宋" w:cs="仿宋"/>
          <w:color w:val="000000"/>
          <w:sz w:val="32"/>
          <w:szCs w:val="32"/>
        </w:rPr>
        <w:t>，响应委托方须在规定时间内将响应文件送至规定地点。</w:t>
      </w:r>
    </w:p>
    <w:p>
      <w:pPr>
        <w:spacing w:line="56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2、确定中标单位时间为</w:t>
      </w:r>
      <w:r>
        <w:rPr>
          <w:rFonts w:ascii="Times New Roman" w:hAnsi="Times New Roman" w:eastAsia="华文仿宋"/>
          <w:kern w:val="2"/>
          <w:sz w:val="32"/>
          <w:szCs w:val="32"/>
        </w:rPr>
        <w:t>202</w:t>
      </w:r>
      <w:r>
        <w:rPr>
          <w:rFonts w:hint="eastAsia" w:ascii="Times New Roman" w:hAnsi="Times New Roman" w:eastAsia="华文仿宋"/>
          <w:kern w:val="2"/>
          <w:sz w:val="32"/>
          <w:szCs w:val="32"/>
        </w:rPr>
        <w:t>1</w:t>
      </w:r>
      <w:r>
        <w:rPr>
          <w:rFonts w:ascii="Times New Roman" w:hAnsi="Times New Roman" w:eastAsia="华文仿宋"/>
          <w:kern w:val="2"/>
          <w:sz w:val="32"/>
          <w:szCs w:val="32"/>
        </w:rPr>
        <w:t>年</w:t>
      </w:r>
      <w:r>
        <w:rPr>
          <w:rFonts w:hint="eastAsia" w:eastAsia="华文仿宋"/>
          <w:kern w:val="2"/>
          <w:sz w:val="32"/>
          <w:szCs w:val="32"/>
          <w:highlight w:val="none"/>
          <w:lang w:val="en-US" w:eastAsia="zh-CN"/>
        </w:rPr>
        <w:t>9</w:t>
      </w:r>
      <w:r>
        <w:rPr>
          <w:rFonts w:ascii="Times New Roman" w:hAnsi="Times New Roman" w:eastAsia="华文仿宋"/>
          <w:kern w:val="2"/>
          <w:sz w:val="32"/>
          <w:szCs w:val="32"/>
          <w:highlight w:val="none"/>
        </w:rPr>
        <w:t>月</w:t>
      </w:r>
      <w:r>
        <w:rPr>
          <w:rFonts w:hint="eastAsia" w:eastAsia="华文仿宋"/>
          <w:kern w:val="2"/>
          <w:sz w:val="32"/>
          <w:szCs w:val="32"/>
          <w:highlight w:val="none"/>
          <w:lang w:val="en-US" w:eastAsia="zh-CN"/>
        </w:rPr>
        <w:t>15</w:t>
      </w:r>
      <w:r>
        <w:rPr>
          <w:rFonts w:ascii="Times New Roman" w:hAnsi="Times New Roman" w:eastAsia="华文仿宋"/>
          <w:kern w:val="2"/>
          <w:sz w:val="32"/>
          <w:szCs w:val="32"/>
          <w:highlight w:val="none"/>
        </w:rPr>
        <w:t>日</w:t>
      </w:r>
      <w:r>
        <w:rPr>
          <w:rFonts w:hint="eastAsia" w:ascii="Times New Roman" w:hAnsi="Times New Roman" w:eastAsia="华文仿宋"/>
          <w:kern w:val="2"/>
          <w:sz w:val="32"/>
          <w:szCs w:val="32"/>
          <w:highlight w:val="none"/>
        </w:rPr>
        <w:t>下</w:t>
      </w:r>
      <w:r>
        <w:rPr>
          <w:rFonts w:ascii="Times New Roman" w:hAnsi="Times New Roman" w:eastAsia="华文仿宋"/>
          <w:kern w:val="2"/>
          <w:sz w:val="32"/>
          <w:szCs w:val="32"/>
          <w:highlight w:val="none"/>
        </w:rPr>
        <w:t>午2：30</w:t>
      </w:r>
      <w:r>
        <w:rPr>
          <w:rFonts w:ascii="Times New Roman" w:hAnsi="Times New Roman" w:eastAsia="华文仿宋"/>
          <w:kern w:val="2"/>
          <w:sz w:val="32"/>
          <w:szCs w:val="32"/>
        </w:rPr>
        <w:t>时</w:t>
      </w:r>
      <w:r>
        <w:rPr>
          <w:rFonts w:hint="eastAsia" w:ascii="仿宋" w:hAnsi="仿宋" w:eastAsia="仿宋" w:cs="仿宋"/>
          <w:color w:val="000000"/>
          <w:sz w:val="32"/>
          <w:szCs w:val="32"/>
        </w:rPr>
        <w:t>。</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color w:val="000000"/>
          <w:sz w:val="32"/>
          <w:szCs w:val="32"/>
        </w:rPr>
        <w:t>3、确定中标单位地点:</w:t>
      </w:r>
      <w:r>
        <w:rPr>
          <w:rFonts w:ascii="Times New Roman" w:hAnsi="Times New Roman" w:eastAsia="华文仿宋"/>
          <w:kern w:val="2"/>
          <w:sz w:val="32"/>
          <w:szCs w:val="32"/>
        </w:rPr>
        <w:t>吴中商务中心</w:t>
      </w:r>
      <w:r>
        <w:rPr>
          <w:rFonts w:hint="eastAsia" w:eastAsia="华文仿宋"/>
          <w:kern w:val="2"/>
          <w:sz w:val="32"/>
          <w:szCs w:val="32"/>
          <w:lang w:val="en-US" w:eastAsia="zh-CN"/>
        </w:rPr>
        <w:t>B</w:t>
      </w:r>
      <w:r>
        <w:rPr>
          <w:rFonts w:ascii="Times New Roman" w:hAnsi="Times New Roman" w:eastAsia="华文仿宋"/>
          <w:kern w:val="2"/>
          <w:sz w:val="32"/>
          <w:szCs w:val="32"/>
        </w:rPr>
        <w:t>楼</w:t>
      </w:r>
      <w:r>
        <w:rPr>
          <w:rFonts w:ascii="Times New Roman" w:hAnsi="Times New Roman" w:eastAsia="华文仿宋"/>
          <w:kern w:val="2"/>
          <w:sz w:val="32"/>
          <w:szCs w:val="32"/>
          <w:highlight w:val="none"/>
        </w:rPr>
        <w:t>1</w:t>
      </w:r>
      <w:r>
        <w:rPr>
          <w:rFonts w:hint="eastAsia" w:ascii="Times New Roman" w:hAnsi="Times New Roman" w:eastAsia="华文仿宋"/>
          <w:kern w:val="2"/>
          <w:sz w:val="32"/>
          <w:szCs w:val="32"/>
          <w:highlight w:val="none"/>
        </w:rPr>
        <w:t>2</w:t>
      </w:r>
      <w:r>
        <w:rPr>
          <w:rFonts w:ascii="Times New Roman" w:hAnsi="Times New Roman" w:eastAsia="华文仿宋"/>
          <w:kern w:val="2"/>
          <w:sz w:val="32"/>
          <w:szCs w:val="32"/>
          <w:highlight w:val="none"/>
        </w:rPr>
        <w:t>楼</w:t>
      </w:r>
      <w:r>
        <w:rPr>
          <w:rFonts w:ascii="Times New Roman" w:hAnsi="Times New Roman" w:eastAsia="华文仿宋"/>
          <w:kern w:val="2"/>
          <w:sz w:val="32"/>
          <w:szCs w:val="32"/>
        </w:rPr>
        <w:t>会议室</w:t>
      </w:r>
      <w:r>
        <w:rPr>
          <w:rFonts w:hint="eastAsia" w:ascii="仿宋" w:hAnsi="仿宋" w:eastAsia="仿宋" w:cs="仿宋"/>
          <w:sz w:val="32"/>
          <w:szCs w:val="32"/>
        </w:rPr>
        <w:t>。</w:t>
      </w:r>
    </w:p>
    <w:p>
      <w:pPr>
        <w:spacing w:line="560" w:lineRule="exact"/>
        <w:ind w:firstLine="640" w:firstLineChars="200"/>
        <w:jc w:val="right"/>
        <w:rPr>
          <w:rFonts w:ascii="仿宋" w:hAnsi="仿宋" w:eastAsia="仿宋" w:cs="仿宋"/>
          <w:sz w:val="32"/>
          <w:szCs w:val="32"/>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苏州市吴中生态环境局</w:t>
      </w:r>
    </w:p>
    <w:p>
      <w:pPr>
        <w:wordWrap w:val="0"/>
        <w:spacing w:line="560" w:lineRule="exact"/>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rPr>
        <w:t>202</w:t>
      </w:r>
      <w:r>
        <w:rPr>
          <w:rFonts w:ascii="仿宋" w:hAnsi="仿宋" w:eastAsia="仿宋" w:cs="仿宋"/>
          <w:sz w:val="32"/>
          <w:szCs w:val="32"/>
        </w:rPr>
        <w:t>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66"/>
    <w:rsid w:val="00025BC8"/>
    <w:rsid w:val="00061182"/>
    <w:rsid w:val="00064F7E"/>
    <w:rsid w:val="00076172"/>
    <w:rsid w:val="000927A5"/>
    <w:rsid w:val="000C1BA0"/>
    <w:rsid w:val="0012498E"/>
    <w:rsid w:val="001E2425"/>
    <w:rsid w:val="001F372B"/>
    <w:rsid w:val="00212573"/>
    <w:rsid w:val="00253DD3"/>
    <w:rsid w:val="002A1FCA"/>
    <w:rsid w:val="002B5716"/>
    <w:rsid w:val="00334982"/>
    <w:rsid w:val="00353970"/>
    <w:rsid w:val="003765D4"/>
    <w:rsid w:val="003E38A7"/>
    <w:rsid w:val="003F0A41"/>
    <w:rsid w:val="004A7FD0"/>
    <w:rsid w:val="004D4AE0"/>
    <w:rsid w:val="004F1B80"/>
    <w:rsid w:val="00512374"/>
    <w:rsid w:val="00552CF5"/>
    <w:rsid w:val="00591DEA"/>
    <w:rsid w:val="005A3688"/>
    <w:rsid w:val="005B62CF"/>
    <w:rsid w:val="005D75E1"/>
    <w:rsid w:val="005F3C60"/>
    <w:rsid w:val="006622D7"/>
    <w:rsid w:val="006A2AE3"/>
    <w:rsid w:val="006E2B44"/>
    <w:rsid w:val="0076668F"/>
    <w:rsid w:val="00782139"/>
    <w:rsid w:val="00791E21"/>
    <w:rsid w:val="007E3066"/>
    <w:rsid w:val="00833F44"/>
    <w:rsid w:val="0089082B"/>
    <w:rsid w:val="008C486F"/>
    <w:rsid w:val="009F0EE7"/>
    <w:rsid w:val="00A12A6B"/>
    <w:rsid w:val="00A264E7"/>
    <w:rsid w:val="00A27FDD"/>
    <w:rsid w:val="00A645AF"/>
    <w:rsid w:val="00A977EB"/>
    <w:rsid w:val="00AC1A91"/>
    <w:rsid w:val="00B13266"/>
    <w:rsid w:val="00B75008"/>
    <w:rsid w:val="00BA53E8"/>
    <w:rsid w:val="00BE447C"/>
    <w:rsid w:val="00C2356C"/>
    <w:rsid w:val="00C27220"/>
    <w:rsid w:val="00C40890"/>
    <w:rsid w:val="00C57F54"/>
    <w:rsid w:val="00C67A47"/>
    <w:rsid w:val="00C71BD8"/>
    <w:rsid w:val="00C80EA6"/>
    <w:rsid w:val="00C87B0B"/>
    <w:rsid w:val="00CA55A7"/>
    <w:rsid w:val="00CB4AD3"/>
    <w:rsid w:val="00CE3756"/>
    <w:rsid w:val="00D76D13"/>
    <w:rsid w:val="00DB5A30"/>
    <w:rsid w:val="00DD5AAF"/>
    <w:rsid w:val="00E63906"/>
    <w:rsid w:val="00E6788D"/>
    <w:rsid w:val="00EA16F5"/>
    <w:rsid w:val="00EB245E"/>
    <w:rsid w:val="00ED3AED"/>
    <w:rsid w:val="00ED668F"/>
    <w:rsid w:val="00F03D3E"/>
    <w:rsid w:val="00F328FB"/>
    <w:rsid w:val="00F42FFE"/>
    <w:rsid w:val="00FD758D"/>
    <w:rsid w:val="06E27E09"/>
    <w:rsid w:val="12B53F11"/>
    <w:rsid w:val="1E404BA7"/>
    <w:rsid w:val="30BA050E"/>
    <w:rsid w:val="38887BE4"/>
    <w:rsid w:val="3D8E766D"/>
    <w:rsid w:val="43F50D38"/>
    <w:rsid w:val="4D52076B"/>
    <w:rsid w:val="65470F36"/>
    <w:rsid w:val="6A5B0178"/>
    <w:rsid w:val="7B72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Calibri" w:eastAsia="宋体" w:cs="Times New Roman"/>
      <w:sz w:val="21"/>
      <w:lang w:val="en-US" w:eastAsia="zh-CN" w:bidi="ar-SA"/>
    </w:rPr>
  </w:style>
  <w:style w:type="paragraph" w:styleId="3">
    <w:name w:val="Document Map"/>
    <w:basedOn w:val="1"/>
    <w:qFormat/>
    <w:uiPriority w:val="0"/>
    <w:pPr>
      <w:shd w:val="clear" w:color="auto" w:fill="000080"/>
    </w:pPr>
  </w:style>
  <w:style w:type="paragraph" w:styleId="4">
    <w:name w:val="Body Text"/>
    <w:basedOn w:val="1"/>
    <w:link w:val="22"/>
    <w:uiPriority w:val="0"/>
    <w:pPr>
      <w:spacing w:after="120"/>
    </w:pPr>
  </w:style>
  <w:style w:type="paragraph" w:styleId="5">
    <w:name w:val="Balloon Text"/>
    <w:basedOn w:val="1"/>
    <w:link w:val="24"/>
    <w:uiPriority w:val="0"/>
    <w:rPr>
      <w:sz w:val="18"/>
      <w:szCs w:val="18"/>
    </w:rPr>
  </w:style>
  <w:style w:type="paragraph" w:styleId="6">
    <w:name w:val="footer"/>
    <w:basedOn w:val="1"/>
    <w:link w:val="15"/>
    <w:uiPriority w:val="0"/>
    <w:pPr>
      <w:tabs>
        <w:tab w:val="center" w:pos="4153"/>
        <w:tab w:val="right" w:pos="8306"/>
      </w:tabs>
      <w:snapToGrid w:val="0"/>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spacing w:before="100" w:beforeAutospacing="1" w:after="100" w:afterAutospacing="1"/>
    </w:pPr>
    <w:rPr>
      <w:rFonts w:ascii="Arial" w:hAnsi="Arial" w:cs="Arial"/>
    </w:rPr>
  </w:style>
  <w:style w:type="paragraph" w:styleId="9">
    <w:name w:val="Title"/>
    <w:basedOn w:val="1"/>
    <w:next w:val="1"/>
    <w:link w:val="16"/>
    <w:qFormat/>
    <w:uiPriority w:val="99"/>
    <w:pPr>
      <w:widowControl w:val="0"/>
      <w:spacing w:before="240" w:after="60"/>
      <w:jc w:val="center"/>
      <w:outlineLvl w:val="0"/>
    </w:pPr>
    <w:rPr>
      <w:rFonts w:ascii="Cambria" w:hAnsi="Cambria" w:eastAsiaTheme="minorEastAsia"/>
      <w:b/>
      <w:bCs/>
      <w:kern w:val="2"/>
      <w:sz w:val="32"/>
      <w:szCs w:val="32"/>
    </w:rPr>
  </w:style>
  <w:style w:type="paragraph" w:styleId="10">
    <w:name w:val="Body Text First Indent"/>
    <w:basedOn w:val="4"/>
    <w:link w:val="17"/>
    <w:uiPriority w:val="99"/>
    <w:pPr>
      <w:ind w:firstLine="420" w:firstLineChars="100"/>
    </w:pPr>
    <w:rPr>
      <w:rFonts w:asciiTheme="minorHAnsi" w:hAnsiTheme="minorHAnsi" w:eastAsiaTheme="minorEastAsia"/>
      <w:sz w:val="20"/>
      <w:szCs w:val="20"/>
    </w:rPr>
  </w:style>
  <w:style w:type="table" w:styleId="12">
    <w:name w:val="Table Grid"/>
    <w:basedOn w:val="11"/>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uiPriority w:val="0"/>
    <w:rPr>
      <w:rFonts w:ascii="Times New Roman" w:hAnsi="Times New Roman" w:eastAsia="宋体" w:cs="Times New Roman"/>
      <w:sz w:val="18"/>
      <w:szCs w:val="18"/>
    </w:rPr>
  </w:style>
  <w:style w:type="character" w:customStyle="1" w:styleId="15">
    <w:name w:val="页脚 字符"/>
    <w:basedOn w:val="13"/>
    <w:link w:val="6"/>
    <w:uiPriority w:val="0"/>
    <w:rPr>
      <w:rFonts w:ascii="Times New Roman" w:hAnsi="Times New Roman" w:eastAsia="宋体" w:cs="Times New Roman"/>
      <w:sz w:val="18"/>
      <w:szCs w:val="18"/>
    </w:rPr>
  </w:style>
  <w:style w:type="character" w:customStyle="1" w:styleId="16">
    <w:name w:val="标题 字符1"/>
    <w:link w:val="9"/>
    <w:uiPriority w:val="99"/>
    <w:rPr>
      <w:rFonts w:ascii="Cambria" w:hAnsi="Cambria" w:cs="Times New Roman"/>
      <w:b/>
      <w:bCs/>
      <w:kern w:val="2"/>
      <w:sz w:val="32"/>
      <w:szCs w:val="32"/>
    </w:rPr>
  </w:style>
  <w:style w:type="character" w:customStyle="1" w:styleId="17">
    <w:name w:val="正文文本首行缩进 字符1"/>
    <w:basedOn w:val="13"/>
    <w:link w:val="10"/>
    <w:semiHidden/>
    <w:qFormat/>
    <w:locked/>
    <w:uiPriority w:val="99"/>
    <w:rPr>
      <w:rFonts w:cs="Times New Roman"/>
      <w:sz w:val="20"/>
      <w:szCs w:val="20"/>
    </w:rPr>
  </w:style>
  <w:style w:type="character" w:customStyle="1" w:styleId="18">
    <w:name w:val="标题 字符"/>
    <w:basedOn w:val="13"/>
    <w:uiPriority w:val="0"/>
    <w:rPr>
      <w:rFonts w:asciiTheme="majorHAnsi" w:hAnsiTheme="majorHAnsi" w:eastAsiaTheme="majorEastAsia" w:cstheme="majorBidi"/>
      <w:b/>
      <w:bCs/>
      <w:sz w:val="32"/>
      <w:szCs w:val="32"/>
    </w:rPr>
  </w:style>
  <w:style w:type="paragraph" w:customStyle="1" w:styleId="19">
    <w:name w:val="_Style 15"/>
    <w:basedOn w:val="1"/>
    <w:next w:val="20"/>
    <w:qFormat/>
    <w:uiPriority w:val="99"/>
    <w:pPr>
      <w:widowControl w:val="0"/>
      <w:ind w:firstLine="420" w:firstLineChars="200"/>
      <w:jc w:val="both"/>
    </w:pPr>
    <w:rPr>
      <w:rFonts w:ascii="Calibri" w:hAnsi="Calibri" w:cs="宋体"/>
      <w:kern w:val="2"/>
      <w:sz w:val="21"/>
      <w:szCs w:val="22"/>
    </w:rPr>
  </w:style>
  <w:style w:type="paragraph" w:styleId="20">
    <w:name w:val="List Paragraph"/>
    <w:basedOn w:val="1"/>
    <w:uiPriority w:val="99"/>
    <w:pPr>
      <w:ind w:firstLine="420" w:firstLineChars="200"/>
    </w:p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正文文本 字符"/>
    <w:basedOn w:val="13"/>
    <w:link w:val="4"/>
    <w:uiPriority w:val="0"/>
    <w:rPr>
      <w:rFonts w:ascii="Times New Roman" w:hAnsi="Times New Roman" w:eastAsia="宋体" w:cs="Times New Roman"/>
      <w:sz w:val="24"/>
      <w:szCs w:val="24"/>
    </w:rPr>
  </w:style>
  <w:style w:type="character" w:customStyle="1" w:styleId="23">
    <w:name w:val="正文文本首行缩进 字符"/>
    <w:basedOn w:val="22"/>
    <w:uiPriority w:val="0"/>
    <w:rPr>
      <w:rFonts w:ascii="Times New Roman" w:hAnsi="Times New Roman" w:eastAsia="宋体" w:cs="Times New Roman"/>
      <w:sz w:val="24"/>
      <w:szCs w:val="24"/>
    </w:rPr>
  </w:style>
  <w:style w:type="character" w:customStyle="1" w:styleId="24">
    <w:name w:val="批注框文本 字符"/>
    <w:basedOn w:val="13"/>
    <w:link w:val="5"/>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348</Words>
  <Characters>1989</Characters>
  <Lines>16</Lines>
  <Paragraphs>4</Paragraphs>
  <TotalTime>1</TotalTime>
  <ScaleCrop>false</ScaleCrop>
  <LinksUpToDate>false</LinksUpToDate>
  <CharactersWithSpaces>2333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Administrator</dc:creator>
  <cp:lastModifiedBy>小吉同学</cp:lastModifiedBy>
  <dcterms:modified xsi:type="dcterms:W3CDTF">2021-09-08T07:15:37Z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C5EAA7E233BF487DA10A0EB69454DB94</vt:lpwstr>
  </property>
</Properties>
</file>