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line="560" w:lineRule="exact"/>
        <w:jc w:val="center"/>
        <w:rPr>
          <w:rFonts w:ascii="方正小标宋_GBK" w:eastAsia="方正小标宋_GBK"/>
          <w:sz w:val="40"/>
          <w:szCs w:val="44"/>
        </w:rPr>
      </w:pPr>
      <w:bookmarkStart w:id="0" w:name="_GoBack"/>
      <w:bookmarkEnd w:id="0"/>
      <w:r>
        <w:rPr>
          <w:rFonts w:hint="eastAsia" w:ascii="方正小标宋_GBK" w:hAnsi="方正小标宋_GBK" w:eastAsia="方正小标宋_GBK" w:cs="方正小标宋_GBK"/>
          <w:sz w:val="40"/>
          <w:szCs w:val="40"/>
        </w:rPr>
        <w:t>吴中区</w:t>
      </w:r>
      <w:r>
        <w:rPr>
          <w:rFonts w:hint="eastAsia" w:ascii="Times New Roman" w:hAnsi="Times New Roman" w:eastAsia="方正小标宋_GBK"/>
          <w:sz w:val="40"/>
          <w:szCs w:val="40"/>
        </w:rPr>
        <w:t>省级</w:t>
      </w:r>
      <w:r>
        <w:rPr>
          <w:rFonts w:ascii="Times New Roman" w:hAnsi="Times New Roman" w:eastAsia="方正小标宋_GBK"/>
          <w:sz w:val="40"/>
          <w:szCs w:val="40"/>
        </w:rPr>
        <w:t>生态文明建设示范</w:t>
      </w:r>
      <w:r>
        <w:rPr>
          <w:rFonts w:hint="eastAsia" w:ascii="Times New Roman" w:hAnsi="Times New Roman" w:eastAsia="方正小标宋_GBK"/>
          <w:sz w:val="40"/>
          <w:szCs w:val="40"/>
        </w:rPr>
        <w:t>区复核材料编制</w:t>
      </w:r>
      <w:r>
        <w:rPr>
          <w:rFonts w:hint="eastAsia" w:ascii="方正小标宋_GBK" w:eastAsia="方正小标宋_GBK"/>
          <w:sz w:val="40"/>
          <w:szCs w:val="44"/>
        </w:rPr>
        <w:t>招标公告</w:t>
      </w:r>
    </w:p>
    <w:p>
      <w:pPr>
        <w:widowControl/>
        <w:spacing w:before="0" w:beforeAutospacing="0" w:line="560" w:lineRule="exact"/>
        <w:jc w:val="left"/>
        <w:rPr>
          <w:rFonts w:ascii="仿宋_GB2312" w:hAnsi="微软雅黑" w:eastAsia="仿宋_GB2312" w:cs="宋体"/>
          <w:b/>
          <w:bCs/>
          <w:kern w:val="0"/>
          <w:sz w:val="32"/>
          <w:szCs w:val="32"/>
        </w:rPr>
      </w:pPr>
    </w:p>
    <w:p>
      <w:pPr>
        <w:widowControl/>
        <w:spacing w:before="0" w:beforeAutospacing="0" w:line="560" w:lineRule="exact"/>
        <w:ind w:firstLine="630" w:firstLineChars="196"/>
        <w:jc w:val="left"/>
        <w:rPr>
          <w:rFonts w:ascii="宋体" w:cs="宋体"/>
          <w:b/>
          <w:bCs/>
          <w:kern w:val="0"/>
          <w:sz w:val="32"/>
          <w:szCs w:val="32"/>
        </w:rPr>
      </w:pPr>
      <w:r>
        <w:rPr>
          <w:rFonts w:hint="eastAsia" w:ascii="宋体" w:hAnsi="宋体" w:cs="宋体"/>
          <w:b/>
          <w:bCs/>
          <w:kern w:val="0"/>
          <w:sz w:val="32"/>
          <w:szCs w:val="32"/>
        </w:rPr>
        <w:t>一、采购项目背景</w:t>
      </w:r>
    </w:p>
    <w:p>
      <w:pPr>
        <w:pStyle w:val="2"/>
        <w:spacing w:line="590" w:lineRule="exact"/>
        <w:ind w:left="0" w:firstLine="640" w:firstLineChars="200"/>
        <w:rPr>
          <w:rFonts w:ascii="Times New Roman" w:hAnsi="Times New Roman" w:eastAsia="仿宋_GB2312"/>
          <w:b w:val="0"/>
          <w:kern w:val="2"/>
          <w:sz w:val="32"/>
          <w:szCs w:val="32"/>
        </w:rPr>
      </w:pPr>
      <w:r>
        <w:rPr>
          <w:rFonts w:ascii="Times New Roman" w:hAnsi="Times New Roman" w:eastAsia="仿宋_GB2312"/>
          <w:b w:val="0"/>
          <w:kern w:val="2"/>
          <w:sz w:val="32"/>
          <w:szCs w:val="32"/>
        </w:rPr>
        <w:t>2018年苏州市吴中区成功创建江苏省生态文明建设示范区。近年来，吴中区以江苏省生态文明建设示范区为契机，把生态文明建设各项目标任务落到实处，不断完善生态制度、保障生态安全、优化生态空间、发展生态经济、改善生态生活、繁荣生态文化，生态环境质量全方面提升，生态文明建设取得显著成效。2021年，为更好地发挥试点示范和典型引领作用，省生态环境厅开展江苏省生态文明建设示范县（市、区）复核工作。</w:t>
      </w:r>
    </w:p>
    <w:p>
      <w:pPr>
        <w:pStyle w:val="2"/>
        <w:spacing w:line="590" w:lineRule="exact"/>
        <w:ind w:left="0" w:firstLine="640" w:firstLineChars="200"/>
        <w:rPr>
          <w:rFonts w:ascii="Times New Roman" w:hAnsi="Times New Roman" w:eastAsia="方正仿宋_GBK"/>
          <w:sz w:val="32"/>
          <w:szCs w:val="32"/>
        </w:rPr>
      </w:pPr>
      <w:r>
        <w:rPr>
          <w:rFonts w:hint="eastAsia" w:ascii="仿宋_GB2312" w:hAnsi="方正仿宋_GBK" w:eastAsia="仿宋_GB2312" w:cs="方正仿宋_GBK"/>
          <w:b w:val="0"/>
          <w:kern w:val="2"/>
          <w:sz w:val="32"/>
          <w:szCs w:val="32"/>
        </w:rPr>
        <w:t>为做好吴中区江苏省生态文明建设示范区复核材料编制工作，拟委托第三方技术单位提供技术支持。</w:t>
      </w:r>
    </w:p>
    <w:p>
      <w:pPr>
        <w:widowControl/>
        <w:spacing w:before="0" w:beforeAutospacing="0" w:line="560" w:lineRule="exact"/>
        <w:ind w:firstLine="630" w:firstLineChars="196"/>
        <w:rPr>
          <w:rFonts w:ascii="仿宋_GB2312" w:hAnsi="宋体" w:eastAsia="仿宋_GB2312" w:cs="宋体"/>
          <w:b/>
          <w:bCs/>
          <w:kern w:val="0"/>
          <w:sz w:val="32"/>
          <w:szCs w:val="32"/>
        </w:rPr>
      </w:pPr>
      <w:r>
        <w:rPr>
          <w:rFonts w:hint="eastAsia" w:ascii="宋体" w:hAnsi="宋体" w:cs="宋体"/>
          <w:b/>
          <w:bCs/>
          <w:kern w:val="0"/>
          <w:sz w:val="32"/>
          <w:szCs w:val="32"/>
        </w:rPr>
        <w:t>二、采购单位</w:t>
      </w:r>
    </w:p>
    <w:p>
      <w:pPr>
        <w:widowControl/>
        <w:spacing w:before="0" w:beforeAutospacing="0" w:line="560" w:lineRule="exact"/>
        <w:ind w:firstLine="640" w:firstLineChars="200"/>
        <w:rPr>
          <w:rFonts w:ascii="仿宋_GB2312" w:hAnsi="宋体" w:eastAsia="仿宋_GB2312" w:cs="宋体"/>
          <w:bCs/>
          <w:kern w:val="0"/>
          <w:sz w:val="32"/>
          <w:szCs w:val="32"/>
        </w:rPr>
      </w:pPr>
      <w:r>
        <w:rPr>
          <w:rFonts w:hint="eastAsia" w:ascii="仿宋_GB2312" w:hAnsi="宋体" w:eastAsia="仿宋_GB2312" w:cs="宋体"/>
          <w:bCs/>
          <w:kern w:val="0"/>
          <w:sz w:val="32"/>
          <w:szCs w:val="32"/>
        </w:rPr>
        <w:t>苏州市吴中生态环境局</w:t>
      </w:r>
    </w:p>
    <w:p>
      <w:pPr>
        <w:widowControl/>
        <w:spacing w:before="0" w:beforeAutospacing="0" w:line="560" w:lineRule="exact"/>
        <w:ind w:firstLine="630" w:firstLineChars="196"/>
        <w:rPr>
          <w:rFonts w:ascii="宋体" w:cs="宋体"/>
          <w:b/>
          <w:bCs/>
          <w:kern w:val="0"/>
          <w:sz w:val="32"/>
          <w:szCs w:val="32"/>
        </w:rPr>
      </w:pPr>
      <w:r>
        <w:rPr>
          <w:rFonts w:hint="eastAsia" w:ascii="宋体" w:hAnsi="宋体" w:cs="宋体"/>
          <w:b/>
          <w:bCs/>
          <w:kern w:val="0"/>
          <w:sz w:val="32"/>
          <w:szCs w:val="32"/>
        </w:rPr>
        <w:t>三、采购项目概况</w:t>
      </w:r>
    </w:p>
    <w:p>
      <w:pPr>
        <w:widowControl/>
        <w:spacing w:before="0" w:beforeAutospacing="0"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、采购内容：吴中区省级生态文明建设示范区复核材料编制，配合完成省级生态文明建设示范区复核等工作。</w:t>
      </w:r>
    </w:p>
    <w:p>
      <w:pPr>
        <w:widowControl/>
        <w:spacing w:before="0" w:beforeAutospacing="0"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、采购预算（人民币）：￥28</w:t>
      </w:r>
      <w:r>
        <w:rPr>
          <w:rFonts w:ascii="仿宋_GB2312" w:hAnsi="宋体" w:eastAsia="仿宋_GB2312" w:cs="宋体"/>
          <w:kern w:val="0"/>
          <w:sz w:val="32"/>
          <w:szCs w:val="32"/>
        </w:rPr>
        <w:t>0000</w:t>
      </w:r>
      <w:r>
        <w:rPr>
          <w:rFonts w:hint="eastAsia" w:ascii="仿宋_GB2312" w:hAnsi="宋体" w:eastAsia="仿宋_GB2312" w:cs="宋体"/>
          <w:kern w:val="0"/>
          <w:sz w:val="32"/>
          <w:szCs w:val="32"/>
        </w:rPr>
        <w:t>元。</w:t>
      </w:r>
    </w:p>
    <w:p>
      <w:pPr>
        <w:widowControl/>
        <w:spacing w:before="0" w:beforeAutospacing="0"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、结算方式：复核工作完成后一次性支付。</w:t>
      </w:r>
    </w:p>
    <w:p>
      <w:pPr>
        <w:widowControl/>
        <w:spacing w:before="0" w:beforeAutospacing="0" w:line="560" w:lineRule="exact"/>
        <w:ind w:firstLine="630" w:firstLineChars="196"/>
        <w:rPr>
          <w:rFonts w:ascii="宋体" w:cs="宋体"/>
          <w:b/>
          <w:bCs/>
          <w:kern w:val="0"/>
          <w:sz w:val="32"/>
          <w:szCs w:val="32"/>
        </w:rPr>
      </w:pPr>
      <w:r>
        <w:rPr>
          <w:rFonts w:hint="eastAsia" w:ascii="宋体" w:hAnsi="宋体" w:cs="宋体"/>
          <w:b/>
          <w:bCs/>
          <w:kern w:val="0"/>
          <w:sz w:val="32"/>
          <w:szCs w:val="32"/>
        </w:rPr>
        <w:t>四、投标人资质要求</w:t>
      </w:r>
    </w:p>
    <w:p>
      <w:pPr>
        <w:widowControl/>
        <w:spacing w:before="0" w:beforeAutospacing="0" w:line="560" w:lineRule="exact"/>
        <w:ind w:firstLine="617" w:firstLineChars="193"/>
        <w:rPr>
          <w:rFonts w:ascii="仿宋_GB2312" w:hAnsi="宋体" w:eastAsia="仿宋_GB2312"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、具有独立承担民事责任的能力。</w:t>
      </w:r>
    </w:p>
    <w:p>
      <w:pPr>
        <w:widowControl/>
        <w:spacing w:before="0" w:beforeAutospacing="0" w:line="560" w:lineRule="exact"/>
        <w:ind w:firstLine="617" w:firstLineChars="193"/>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、具有良好的商业信誉和健全的财务会计制度。</w:t>
      </w:r>
    </w:p>
    <w:p>
      <w:pPr>
        <w:widowControl/>
        <w:spacing w:before="0" w:beforeAutospacing="0" w:line="560" w:lineRule="exact"/>
        <w:ind w:firstLine="617" w:firstLineChars="193"/>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、具有履行合同所必需的设备和专业技术能力。</w:t>
      </w:r>
    </w:p>
    <w:p>
      <w:pPr>
        <w:widowControl/>
        <w:spacing w:before="0" w:beforeAutospacing="0" w:line="560" w:lineRule="exact"/>
        <w:ind w:firstLine="617" w:firstLineChars="193"/>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、有依法缴纳税收和社会保障资金的良好记录。</w:t>
      </w:r>
    </w:p>
    <w:p>
      <w:pPr>
        <w:widowControl/>
        <w:spacing w:before="0" w:beforeAutospacing="0"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5、截止投标文件递交时间当日，在“信用中国”网站（http://www.creditchina.gov.cn/）中</w:t>
      </w:r>
      <w:r>
        <w:rPr>
          <w:rFonts w:hint="eastAsia" w:ascii="仿宋_GB2312" w:hAnsi="宋体" w:eastAsia="仿宋_GB2312" w:cs="宋体"/>
          <w:kern w:val="0"/>
          <w:sz w:val="32"/>
          <w:szCs w:val="32"/>
          <w:highlight w:val="none"/>
          <w:lang w:val="en-US" w:eastAsia="zh-CN"/>
        </w:rPr>
        <w:t>未</w:t>
      </w:r>
      <w:r>
        <w:rPr>
          <w:rFonts w:hint="eastAsia" w:ascii="仿宋_GB2312" w:hAnsi="宋体" w:eastAsia="仿宋_GB2312" w:cs="宋体"/>
          <w:kern w:val="0"/>
          <w:sz w:val="32"/>
          <w:szCs w:val="32"/>
          <w:highlight w:val="none"/>
        </w:rPr>
        <w:t>被列入失信被执行人名单。</w:t>
      </w:r>
    </w:p>
    <w:p>
      <w:pPr>
        <w:widowControl/>
        <w:spacing w:before="0" w:beforeAutospacing="0"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6、具有环境保护、生态文明创建方面工作经验等相关技术团队者优先。</w:t>
      </w:r>
    </w:p>
    <w:p>
      <w:pPr>
        <w:widowControl/>
        <w:spacing w:before="0" w:beforeAutospacing="0"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7、法律、行政法规规定的其他条件。</w:t>
      </w:r>
    </w:p>
    <w:p>
      <w:pPr>
        <w:widowControl/>
        <w:spacing w:before="0" w:beforeAutospacing="0" w:line="560" w:lineRule="exact"/>
        <w:ind w:firstLine="630" w:firstLineChars="196"/>
        <w:rPr>
          <w:rFonts w:ascii="宋体" w:cs="宋体"/>
          <w:b/>
          <w:bCs/>
          <w:kern w:val="0"/>
          <w:sz w:val="32"/>
          <w:szCs w:val="32"/>
        </w:rPr>
      </w:pPr>
      <w:r>
        <w:rPr>
          <w:rFonts w:hint="eastAsia" w:ascii="宋体" w:hAnsi="宋体" w:cs="宋体"/>
          <w:b/>
          <w:bCs/>
          <w:kern w:val="0"/>
          <w:sz w:val="32"/>
          <w:szCs w:val="32"/>
        </w:rPr>
        <w:t>五、评分办法及评分标准</w:t>
      </w:r>
    </w:p>
    <w:p>
      <w:pPr>
        <w:widowControl/>
        <w:spacing w:before="0" w:beforeAutospacing="0"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（一）评审方法</w:t>
      </w:r>
    </w:p>
    <w:p>
      <w:pPr>
        <w:widowControl/>
        <w:spacing w:before="0" w:beforeAutospacing="0"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、本次招标采用综合评分法，即在响应文件满足采购文件全部实质性要求且按评审因素的量化指标评审得分最高的供应商为成交候选供应商。采购人书面授权招标小组直接确定成交供应商。</w:t>
      </w:r>
    </w:p>
    <w:p>
      <w:pPr>
        <w:widowControl/>
        <w:spacing w:before="0" w:beforeAutospacing="0"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、评审小组各成员独立对每个进入打分程序的有效投标供应商的响应文件技术和资质部分以打分的形式进行评审和评价。</w:t>
      </w:r>
      <w:r>
        <w:rPr>
          <w:rFonts w:ascii="仿宋_GB2312" w:hAnsi="宋体" w:eastAsia="仿宋_GB2312" w:cs="宋体"/>
          <w:sz w:val="32"/>
          <w:szCs w:val="32"/>
        </w:rPr>
        <w:t xml:space="preserve"> </w:t>
      </w:r>
    </w:p>
    <w:p>
      <w:pPr>
        <w:widowControl/>
        <w:spacing w:before="0" w:beforeAutospacing="0"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、对评委的评分（除价格分外）进行统计汇总，直接算术平均计算出每个投标供应商的得分，加上价格得分即为每个投标供应商的综合得分。</w:t>
      </w:r>
      <w:r>
        <w:rPr>
          <w:rFonts w:ascii="仿宋_GB2312" w:hAnsi="宋体" w:eastAsia="仿宋_GB2312" w:cs="宋体"/>
          <w:sz w:val="32"/>
          <w:szCs w:val="32"/>
        </w:rPr>
        <w:t xml:space="preserve"> </w:t>
      </w:r>
    </w:p>
    <w:p>
      <w:pPr>
        <w:widowControl/>
        <w:spacing w:before="0" w:beforeAutospacing="0"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4</w:t>
      </w:r>
      <w:r>
        <w:rPr>
          <w:rFonts w:hint="eastAsia" w:ascii="仿宋_GB2312" w:hAnsi="宋体" w:eastAsia="仿宋_GB2312" w:cs="宋体"/>
          <w:sz w:val="32"/>
          <w:szCs w:val="32"/>
        </w:rPr>
        <w:t>、如投标供应商存在“苏财购字（</w:t>
      </w:r>
      <w:r>
        <w:rPr>
          <w:rFonts w:ascii="仿宋_GB2312" w:hAnsi="宋体" w:eastAsia="仿宋_GB2312" w:cs="宋体"/>
          <w:sz w:val="32"/>
          <w:szCs w:val="32"/>
        </w:rPr>
        <w:t>2013</w:t>
      </w:r>
      <w:r>
        <w:rPr>
          <w:rFonts w:hint="eastAsia" w:ascii="仿宋_GB2312" w:hAnsi="宋体" w:eastAsia="仿宋_GB2312" w:cs="宋体"/>
          <w:sz w:val="32"/>
          <w:szCs w:val="32"/>
        </w:rPr>
        <w:t>）</w:t>
      </w:r>
      <w:r>
        <w:rPr>
          <w:rFonts w:ascii="仿宋_GB2312" w:hAnsi="宋体" w:eastAsia="仿宋_GB2312" w:cs="宋体"/>
          <w:sz w:val="32"/>
          <w:szCs w:val="32"/>
        </w:rPr>
        <w:t>3</w:t>
      </w:r>
      <w:r>
        <w:rPr>
          <w:rFonts w:hint="eastAsia" w:ascii="仿宋_GB2312" w:hAnsi="宋体" w:eastAsia="仿宋_GB2312" w:cs="宋体"/>
          <w:sz w:val="32"/>
          <w:szCs w:val="32"/>
        </w:rPr>
        <w:t>号”文件中所列的失信或不良行为，则对其总分按以下比例进行扣减并计算其最终得分，扣分比例：诚信记录分每减</w:t>
      </w:r>
      <w:r>
        <w:rPr>
          <w:rFonts w:ascii="仿宋_GB2312" w:hAnsi="宋体" w:eastAsia="仿宋_GB2312" w:cs="宋体"/>
          <w:sz w:val="32"/>
          <w:szCs w:val="32"/>
        </w:rPr>
        <w:t>10</w:t>
      </w:r>
      <w:r>
        <w:rPr>
          <w:rFonts w:hint="eastAsia" w:ascii="仿宋_GB2312" w:hAnsi="宋体" w:eastAsia="仿宋_GB2312" w:cs="宋体"/>
          <w:sz w:val="32"/>
          <w:szCs w:val="32"/>
        </w:rPr>
        <w:t>分，给予总分值</w:t>
      </w:r>
      <w:r>
        <w:rPr>
          <w:rFonts w:ascii="仿宋_GB2312" w:hAnsi="宋体" w:eastAsia="仿宋_GB2312" w:cs="宋体"/>
          <w:sz w:val="32"/>
          <w:szCs w:val="32"/>
        </w:rPr>
        <w:t>2%</w:t>
      </w:r>
      <w:r>
        <w:rPr>
          <w:rFonts w:hint="eastAsia" w:ascii="仿宋_GB2312" w:hAnsi="宋体" w:eastAsia="仿宋_GB2312" w:cs="宋体"/>
          <w:sz w:val="32"/>
          <w:szCs w:val="32"/>
        </w:rPr>
        <w:t>的扣分，扣分最多不超过</w:t>
      </w:r>
      <w:r>
        <w:rPr>
          <w:rFonts w:ascii="仿宋_GB2312" w:hAnsi="宋体" w:eastAsia="仿宋_GB2312" w:cs="宋体"/>
          <w:sz w:val="32"/>
          <w:szCs w:val="32"/>
        </w:rPr>
        <w:t>6%</w:t>
      </w:r>
      <w:r>
        <w:rPr>
          <w:rFonts w:hint="eastAsia" w:ascii="仿宋_GB2312" w:hAnsi="宋体" w:eastAsia="仿宋_GB2312" w:cs="宋体"/>
          <w:sz w:val="32"/>
          <w:szCs w:val="32"/>
        </w:rPr>
        <w:t>。</w:t>
      </w:r>
    </w:p>
    <w:p>
      <w:pPr>
        <w:widowControl/>
        <w:spacing w:before="0" w:beforeAutospacing="0"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5</w:t>
      </w:r>
      <w:r>
        <w:rPr>
          <w:rFonts w:hint="eastAsia" w:ascii="仿宋_GB2312" w:hAnsi="宋体" w:eastAsia="仿宋_GB2312" w:cs="宋体"/>
          <w:sz w:val="32"/>
          <w:szCs w:val="32"/>
        </w:rPr>
        <w:t>、如出现评审总得分最高的投标供应商有两个或两个以上的，以投标报价较低者优先作为成交候选人，如果投标报价也相同的，则由采购人组织以抽签方式确定成交候选人。</w:t>
      </w:r>
    </w:p>
    <w:p>
      <w:pPr>
        <w:widowControl/>
        <w:spacing w:before="0" w:beforeAutospacing="0"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（二）评分标准</w:t>
      </w:r>
    </w:p>
    <w:p>
      <w:pPr>
        <w:widowControl/>
        <w:spacing w:before="0" w:beforeAutospacing="0" w:line="560" w:lineRule="exact"/>
        <w:ind w:firstLine="800" w:firstLineChars="250"/>
        <w:jc w:val="left"/>
        <w:rPr>
          <w:rFonts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、价格分（</w:t>
      </w:r>
      <w:r>
        <w:rPr>
          <w:rFonts w:ascii="仿宋_GB2312" w:hAnsi="宋体" w:eastAsia="仿宋_GB2312" w:cs="宋体"/>
          <w:sz w:val="32"/>
          <w:szCs w:val="32"/>
        </w:rPr>
        <w:t>20</w:t>
      </w:r>
      <w:r>
        <w:rPr>
          <w:rFonts w:hint="eastAsia" w:ascii="仿宋_GB2312" w:hAnsi="宋体" w:eastAsia="仿宋_GB2312" w:cs="宋体"/>
          <w:sz w:val="32"/>
          <w:szCs w:val="32"/>
        </w:rPr>
        <w:t>分）</w:t>
      </w:r>
    </w:p>
    <w:p>
      <w:pPr>
        <w:widowControl/>
        <w:spacing w:before="0" w:beforeAutospacing="0"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w:t>
      </w:r>
      <w:r>
        <w:rPr>
          <w:rFonts w:hint="eastAsia" w:ascii="仿宋_GB2312" w:hAnsi="宋体" w:eastAsia="仿宋_GB2312" w:cs="宋体"/>
          <w:sz w:val="32"/>
          <w:szCs w:val="32"/>
        </w:rPr>
        <w:t>）投标报价在采购预算价格以下的，为有效报价。超出此范围的投标报价为无效报价。</w:t>
      </w:r>
    </w:p>
    <w:p>
      <w:pPr>
        <w:widowControl/>
        <w:spacing w:before="0" w:beforeAutospacing="0"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2</w:t>
      </w:r>
      <w:r>
        <w:rPr>
          <w:rFonts w:hint="eastAsia" w:ascii="仿宋_GB2312" w:hAnsi="宋体" w:eastAsia="仿宋_GB2312" w:cs="宋体"/>
          <w:sz w:val="32"/>
          <w:szCs w:val="32"/>
        </w:rPr>
        <w:t>）价格分采用低价优先法计算，即满足招标文件要求且投标报价最低的报价为评审基准价，其价格分为满分。其他招标响应单位的价格分统一按照下列公式计算：</w:t>
      </w:r>
    </w:p>
    <w:p>
      <w:pPr>
        <w:widowControl/>
        <w:spacing w:before="0" w:beforeAutospacing="0"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3</w:t>
      </w:r>
      <w:r>
        <w:rPr>
          <w:rFonts w:hint="eastAsia" w:ascii="仿宋_GB2312" w:hAnsi="宋体" w:eastAsia="仿宋_GB2312" w:cs="宋体"/>
          <w:sz w:val="32"/>
          <w:szCs w:val="32"/>
        </w:rPr>
        <w:t>）投标报价得分＝（评审基准价</w:t>
      </w:r>
      <w:r>
        <w:rPr>
          <w:rFonts w:ascii="仿宋_GB2312" w:hAnsi="宋体" w:eastAsia="仿宋_GB2312" w:cs="宋体"/>
          <w:sz w:val="32"/>
          <w:szCs w:val="32"/>
        </w:rPr>
        <w:t>/</w:t>
      </w:r>
      <w:r>
        <w:rPr>
          <w:rFonts w:hint="eastAsia" w:ascii="仿宋_GB2312" w:hAnsi="宋体" w:eastAsia="仿宋_GB2312" w:cs="宋体"/>
          <w:sz w:val="32"/>
          <w:szCs w:val="32"/>
        </w:rPr>
        <w:t>投标报价）×价格权值×</w:t>
      </w:r>
      <w:r>
        <w:rPr>
          <w:rFonts w:ascii="仿宋_GB2312" w:hAnsi="宋体" w:eastAsia="仿宋_GB2312" w:cs="宋体"/>
          <w:sz w:val="32"/>
          <w:szCs w:val="32"/>
        </w:rPr>
        <w:t>100</w:t>
      </w:r>
      <w:r>
        <w:rPr>
          <w:rFonts w:hint="eastAsia" w:ascii="仿宋_GB2312" w:hAnsi="宋体" w:eastAsia="仿宋_GB2312" w:cs="宋体"/>
          <w:sz w:val="32"/>
          <w:szCs w:val="32"/>
        </w:rPr>
        <w:t>（本次投标报价权值为20</w:t>
      </w:r>
      <w:r>
        <w:rPr>
          <w:rFonts w:ascii="仿宋_GB2312" w:hAnsi="宋体" w:eastAsia="仿宋_GB2312" w:cs="宋体"/>
          <w:sz w:val="32"/>
          <w:szCs w:val="32"/>
        </w:rPr>
        <w:t>%</w:t>
      </w:r>
      <w:r>
        <w:rPr>
          <w:rFonts w:hint="eastAsia" w:ascii="仿宋_GB2312" w:hAnsi="宋体" w:eastAsia="仿宋_GB2312" w:cs="宋体"/>
          <w:sz w:val="32"/>
          <w:szCs w:val="32"/>
        </w:rPr>
        <w:t>）（保留小数点后二位）</w:t>
      </w:r>
    </w:p>
    <w:p>
      <w:pPr>
        <w:widowControl/>
        <w:spacing w:before="0" w:beforeAutospacing="0" w:line="560" w:lineRule="exact"/>
        <w:ind w:firstLine="640" w:firstLineChars="200"/>
        <w:jc w:val="left"/>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、技术及其它（</w:t>
      </w:r>
      <w:r>
        <w:rPr>
          <w:rFonts w:ascii="仿宋_GB2312" w:hAnsi="宋体" w:eastAsia="仿宋_GB2312" w:cs="宋体"/>
          <w:sz w:val="32"/>
          <w:szCs w:val="32"/>
        </w:rPr>
        <w:t>80</w:t>
      </w:r>
      <w:r>
        <w:rPr>
          <w:rFonts w:hint="eastAsia" w:ascii="仿宋_GB2312" w:hAnsi="宋体" w:eastAsia="仿宋_GB2312" w:cs="宋体"/>
          <w:sz w:val="32"/>
          <w:szCs w:val="32"/>
        </w:rPr>
        <w:t>分）</w:t>
      </w:r>
    </w:p>
    <w:p>
      <w:pPr>
        <w:widowControl/>
        <w:spacing w:before="0" w:beforeAutospacing="0" w:line="560" w:lineRule="exact"/>
        <w:ind w:firstLine="480" w:firstLineChars="150"/>
        <w:jc w:val="lef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1</w:t>
      </w:r>
      <w:r>
        <w:rPr>
          <w:rFonts w:hint="eastAsia" w:ascii="仿宋_GB2312" w:hAnsi="宋体" w:eastAsia="仿宋_GB2312" w:cs="宋体"/>
          <w:sz w:val="32"/>
          <w:szCs w:val="32"/>
        </w:rPr>
        <w:t>）服务方案：投标单位根据本次招标内容，就服务内容、服务进度等提供工作方案的，由评委根据方案的可行性、规范性、完整性酌情打分，最高得</w:t>
      </w:r>
      <w:r>
        <w:rPr>
          <w:rFonts w:ascii="仿宋_GB2312" w:hAnsi="宋体" w:eastAsia="仿宋_GB2312" w:cs="宋体"/>
          <w:sz w:val="32"/>
          <w:szCs w:val="32"/>
        </w:rPr>
        <w:t>35</w:t>
      </w:r>
      <w:r>
        <w:rPr>
          <w:rFonts w:hint="eastAsia" w:ascii="仿宋_GB2312" w:hAnsi="宋体" w:eastAsia="仿宋_GB2312" w:cs="宋体"/>
          <w:sz w:val="32"/>
          <w:szCs w:val="32"/>
        </w:rPr>
        <w:t>分（</w:t>
      </w:r>
      <w:r>
        <w:rPr>
          <w:rFonts w:ascii="仿宋_GB2312" w:hAnsi="宋体" w:eastAsia="仿宋_GB2312" w:cs="宋体"/>
          <w:sz w:val="32"/>
          <w:szCs w:val="32"/>
        </w:rPr>
        <w:t>35</w:t>
      </w:r>
      <w:r>
        <w:rPr>
          <w:rFonts w:hint="eastAsia" w:ascii="仿宋_GB2312" w:hAnsi="宋体" w:eastAsia="仿宋_GB2312" w:cs="宋体"/>
          <w:sz w:val="32"/>
          <w:szCs w:val="32"/>
        </w:rPr>
        <w:t>分）</w:t>
      </w:r>
    </w:p>
    <w:p>
      <w:pPr>
        <w:widowControl/>
        <w:spacing w:before="0" w:beforeAutospacing="0" w:line="560" w:lineRule="exact"/>
        <w:ind w:firstLine="480" w:firstLineChars="150"/>
        <w:jc w:val="lef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2</w:t>
      </w:r>
      <w:r>
        <w:rPr>
          <w:rFonts w:hint="eastAsia" w:ascii="仿宋_GB2312" w:hAnsi="宋体" w:eastAsia="仿宋_GB2312" w:cs="宋体"/>
          <w:sz w:val="32"/>
          <w:szCs w:val="32"/>
        </w:rPr>
        <w:t>）投标单位能力项目：投标单位内部职工有高级工程师证的（有</w:t>
      </w:r>
      <w:r>
        <w:rPr>
          <w:rFonts w:ascii="仿宋_GB2312" w:hAnsi="宋体" w:eastAsia="仿宋_GB2312" w:cs="宋体"/>
          <w:sz w:val="32"/>
          <w:szCs w:val="32"/>
        </w:rPr>
        <w:t>1</w:t>
      </w:r>
      <w:r>
        <w:rPr>
          <w:rFonts w:hint="eastAsia" w:ascii="仿宋_GB2312" w:hAnsi="宋体" w:eastAsia="仿宋_GB2312" w:cs="宋体"/>
          <w:sz w:val="32"/>
          <w:szCs w:val="32"/>
        </w:rPr>
        <w:t>个得</w:t>
      </w:r>
      <w:r>
        <w:rPr>
          <w:rFonts w:ascii="仿宋_GB2312" w:hAnsi="宋体" w:eastAsia="仿宋_GB2312" w:cs="宋体"/>
          <w:sz w:val="32"/>
          <w:szCs w:val="32"/>
        </w:rPr>
        <w:t>2</w:t>
      </w:r>
      <w:r>
        <w:rPr>
          <w:rFonts w:hint="eastAsia" w:ascii="仿宋_GB2312" w:hAnsi="宋体" w:eastAsia="仿宋_GB2312" w:cs="宋体"/>
          <w:sz w:val="32"/>
          <w:szCs w:val="32"/>
        </w:rPr>
        <w:t>分，依次类推），最高得</w:t>
      </w:r>
      <w:r>
        <w:rPr>
          <w:rFonts w:ascii="仿宋_GB2312" w:hAnsi="宋体" w:eastAsia="仿宋_GB2312" w:cs="宋体"/>
          <w:sz w:val="32"/>
          <w:szCs w:val="32"/>
        </w:rPr>
        <w:t>10</w:t>
      </w:r>
      <w:r>
        <w:rPr>
          <w:rFonts w:hint="eastAsia" w:ascii="仿宋_GB2312" w:hAnsi="宋体" w:eastAsia="仿宋_GB2312" w:cs="宋体"/>
          <w:sz w:val="32"/>
          <w:szCs w:val="32"/>
        </w:rPr>
        <w:t>分。（</w:t>
      </w:r>
      <w:r>
        <w:rPr>
          <w:rFonts w:ascii="仿宋_GB2312" w:hAnsi="宋体" w:eastAsia="仿宋_GB2312" w:cs="宋体"/>
          <w:sz w:val="32"/>
          <w:szCs w:val="32"/>
        </w:rPr>
        <w:t>10</w:t>
      </w:r>
      <w:r>
        <w:rPr>
          <w:rFonts w:hint="eastAsia" w:ascii="仿宋_GB2312" w:hAnsi="宋体" w:eastAsia="仿宋_GB2312" w:cs="宋体"/>
          <w:sz w:val="32"/>
          <w:szCs w:val="32"/>
        </w:rPr>
        <w:t>分）</w:t>
      </w:r>
    </w:p>
    <w:p>
      <w:pPr>
        <w:widowControl/>
        <w:spacing w:before="0" w:beforeAutospacing="0" w:line="560" w:lineRule="exact"/>
        <w:ind w:firstLine="480" w:firstLineChars="150"/>
        <w:jc w:val="left"/>
        <w:rPr>
          <w:rFonts w:ascii="仿宋_GB2312" w:hAnsi="宋体" w:eastAsia="仿宋_GB2312" w:cs="宋体"/>
          <w:sz w:val="32"/>
          <w:szCs w:val="32"/>
        </w:rPr>
      </w:pPr>
      <w:r>
        <w:rPr>
          <w:rFonts w:hint="eastAsia" w:ascii="仿宋_GB2312" w:hAnsi="宋体" w:eastAsia="仿宋_GB2312" w:cs="宋体"/>
          <w:sz w:val="32"/>
          <w:szCs w:val="32"/>
        </w:rPr>
        <w:t>（</w:t>
      </w:r>
      <w:r>
        <w:rPr>
          <w:rFonts w:ascii="仿宋_GB2312" w:hAnsi="宋体" w:eastAsia="仿宋_GB2312" w:cs="宋体"/>
          <w:sz w:val="32"/>
          <w:szCs w:val="32"/>
        </w:rPr>
        <w:t>3</w:t>
      </w:r>
      <w:r>
        <w:rPr>
          <w:rFonts w:hint="eastAsia" w:ascii="仿宋_GB2312" w:hAnsi="宋体" w:eastAsia="仿宋_GB2312" w:cs="宋体"/>
          <w:sz w:val="32"/>
          <w:szCs w:val="32"/>
        </w:rPr>
        <w:t>）近5年内投标单位承担过生态文明</w:t>
      </w:r>
      <w:r>
        <w:rPr>
          <w:rFonts w:hint="eastAsia" w:ascii="仿宋_GB2312" w:hAnsi="宋体" w:eastAsia="仿宋_GB2312" w:cs="宋体"/>
          <w:sz w:val="32"/>
          <w:szCs w:val="32"/>
          <w:lang w:val="en-US" w:eastAsia="zh-CN"/>
        </w:rPr>
        <w:t>规划编制、生态文明创建</w:t>
      </w:r>
      <w:r>
        <w:rPr>
          <w:rFonts w:hint="eastAsia" w:ascii="仿宋_GB2312" w:hAnsi="宋体" w:eastAsia="仿宋_GB2312" w:cs="宋体"/>
          <w:sz w:val="32"/>
          <w:szCs w:val="32"/>
        </w:rPr>
        <w:t>相关研究及服务，并提供业绩证明材料，有一个得5分，最高得</w:t>
      </w:r>
      <w:r>
        <w:rPr>
          <w:rFonts w:hint="eastAsia" w:ascii="仿宋_GB2312" w:hAnsi="宋体" w:eastAsia="仿宋_GB2312" w:cs="宋体"/>
          <w:sz w:val="32"/>
          <w:szCs w:val="32"/>
          <w:lang w:val="en-US" w:eastAsia="zh-CN"/>
        </w:rPr>
        <w:t>30</w:t>
      </w:r>
      <w:r>
        <w:rPr>
          <w:rFonts w:hint="eastAsia" w:ascii="仿宋_GB2312" w:hAnsi="宋体" w:eastAsia="仿宋_GB2312" w:cs="宋体"/>
          <w:sz w:val="32"/>
          <w:szCs w:val="32"/>
        </w:rPr>
        <w:t>分。（</w:t>
      </w:r>
      <w:r>
        <w:rPr>
          <w:rFonts w:hint="eastAsia" w:ascii="仿宋_GB2312" w:hAnsi="宋体" w:eastAsia="仿宋_GB2312" w:cs="宋体"/>
          <w:sz w:val="32"/>
          <w:szCs w:val="32"/>
          <w:lang w:val="en-US" w:eastAsia="zh-CN"/>
        </w:rPr>
        <w:t>30</w:t>
      </w:r>
      <w:r>
        <w:rPr>
          <w:rFonts w:hint="eastAsia" w:ascii="仿宋_GB2312" w:hAnsi="宋体" w:eastAsia="仿宋_GB2312" w:cs="宋体"/>
          <w:sz w:val="32"/>
          <w:szCs w:val="32"/>
        </w:rPr>
        <w:t>分）</w:t>
      </w:r>
    </w:p>
    <w:p>
      <w:pPr>
        <w:widowControl/>
        <w:spacing w:before="0" w:beforeAutospacing="0" w:line="560" w:lineRule="exact"/>
        <w:ind w:firstLine="480" w:firstLineChars="150"/>
        <w:jc w:val="left"/>
        <w:rPr>
          <w:rFonts w:ascii="仿宋_GB2312" w:hAnsi="宋体" w:eastAsia="仿宋_GB2312" w:cs="宋体"/>
          <w:sz w:val="32"/>
          <w:szCs w:val="32"/>
        </w:rPr>
      </w:pPr>
      <w:r>
        <w:rPr>
          <w:rFonts w:hint="eastAsia" w:ascii="仿宋_GB2312" w:hAnsi="宋体" w:eastAsia="仿宋_GB2312" w:cs="宋体"/>
          <w:sz w:val="32"/>
          <w:szCs w:val="32"/>
        </w:rPr>
        <w:t>（投标单位提供相应证明材料）</w:t>
      </w:r>
    </w:p>
    <w:p>
      <w:pPr>
        <w:widowControl/>
        <w:spacing w:before="0" w:beforeAutospacing="0" w:line="560" w:lineRule="exact"/>
        <w:ind w:firstLine="480" w:firstLineChars="150"/>
        <w:jc w:val="left"/>
        <w:rPr>
          <w:rFonts w:ascii="仿宋_GB2312" w:hAnsi="宋体" w:eastAsia="仿宋_GB2312" w:cs="宋体"/>
          <w:sz w:val="32"/>
          <w:szCs w:val="32"/>
        </w:rPr>
      </w:pP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）投标文件的规范性、完整性，最高得</w:t>
      </w:r>
      <w:r>
        <w:rPr>
          <w:rFonts w:ascii="仿宋_GB2312" w:hAnsi="宋体" w:eastAsia="仿宋_GB2312" w:cs="宋体"/>
          <w:sz w:val="32"/>
          <w:szCs w:val="32"/>
        </w:rPr>
        <w:t>5</w:t>
      </w:r>
      <w:r>
        <w:rPr>
          <w:rFonts w:hint="eastAsia" w:ascii="仿宋_GB2312" w:hAnsi="宋体" w:eastAsia="仿宋_GB2312" w:cs="宋体"/>
          <w:sz w:val="32"/>
          <w:szCs w:val="32"/>
        </w:rPr>
        <w:t>分。（</w:t>
      </w:r>
      <w:r>
        <w:rPr>
          <w:rFonts w:ascii="仿宋_GB2312" w:hAnsi="宋体" w:eastAsia="仿宋_GB2312" w:cs="宋体"/>
          <w:sz w:val="32"/>
          <w:szCs w:val="32"/>
        </w:rPr>
        <w:t>5</w:t>
      </w:r>
      <w:r>
        <w:rPr>
          <w:rFonts w:hint="eastAsia" w:ascii="仿宋_GB2312" w:hAnsi="宋体" w:eastAsia="仿宋_GB2312" w:cs="宋体"/>
          <w:sz w:val="32"/>
          <w:szCs w:val="32"/>
        </w:rPr>
        <w:t>分）</w:t>
      </w:r>
    </w:p>
    <w:p>
      <w:pPr>
        <w:widowControl/>
        <w:spacing w:before="0" w:beforeAutospacing="0" w:line="560" w:lineRule="exact"/>
        <w:ind w:firstLine="630" w:firstLineChars="196"/>
        <w:rPr>
          <w:rFonts w:ascii="宋体" w:cs="宋体"/>
          <w:b/>
          <w:bCs/>
          <w:kern w:val="0"/>
          <w:sz w:val="32"/>
          <w:szCs w:val="32"/>
        </w:rPr>
      </w:pPr>
      <w:r>
        <w:rPr>
          <w:rFonts w:hint="eastAsia" w:ascii="宋体" w:hAnsi="宋体" w:cs="宋体"/>
          <w:b/>
          <w:bCs/>
          <w:kern w:val="0"/>
          <w:sz w:val="32"/>
          <w:szCs w:val="32"/>
        </w:rPr>
        <w:t>六、公示时间</w:t>
      </w:r>
    </w:p>
    <w:p>
      <w:pPr>
        <w:widowControl/>
        <w:spacing w:before="0" w:beforeAutospacing="0"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本次招标公示时间为</w:t>
      </w:r>
      <w:r>
        <w:rPr>
          <w:rFonts w:ascii="仿宋_GB2312" w:hAnsi="宋体" w:eastAsia="仿宋_GB2312" w:cs="宋体"/>
          <w:sz w:val="32"/>
          <w:szCs w:val="32"/>
        </w:rPr>
        <w:t>20</w:t>
      </w:r>
      <w:r>
        <w:rPr>
          <w:rFonts w:hint="eastAsia" w:ascii="仿宋_GB2312" w:hAnsi="宋体" w:eastAsia="仿宋_GB2312" w:cs="宋体"/>
          <w:sz w:val="32"/>
          <w:szCs w:val="32"/>
        </w:rPr>
        <w:t>21年9月16日至</w:t>
      </w:r>
      <w:r>
        <w:rPr>
          <w:rFonts w:ascii="仿宋_GB2312" w:hAnsi="宋体" w:eastAsia="仿宋_GB2312" w:cs="宋体"/>
          <w:sz w:val="32"/>
          <w:szCs w:val="32"/>
        </w:rPr>
        <w:t>20</w:t>
      </w:r>
      <w:r>
        <w:rPr>
          <w:rFonts w:hint="eastAsia" w:ascii="仿宋_GB2312" w:hAnsi="宋体" w:eastAsia="仿宋_GB2312" w:cs="宋体"/>
          <w:sz w:val="32"/>
          <w:szCs w:val="32"/>
        </w:rPr>
        <w:t>21年9月21日。</w:t>
      </w:r>
    </w:p>
    <w:p>
      <w:pPr>
        <w:widowControl/>
        <w:spacing w:before="0" w:beforeAutospacing="0" w:line="560" w:lineRule="exact"/>
        <w:ind w:firstLine="627" w:firstLineChars="196"/>
        <w:jc w:val="left"/>
        <w:rPr>
          <w:rFonts w:ascii="仿宋_GB2312" w:hAnsi="宋体" w:eastAsia="仿宋_GB2312" w:cs="宋体"/>
          <w:sz w:val="32"/>
          <w:szCs w:val="32"/>
        </w:rPr>
      </w:pPr>
      <w:r>
        <w:rPr>
          <w:rFonts w:hint="eastAsia" w:ascii="仿宋_GB2312" w:hAnsi="宋体" w:eastAsia="仿宋_GB2312" w:cs="宋体"/>
          <w:sz w:val="32"/>
          <w:szCs w:val="32"/>
        </w:rPr>
        <w:t>七、报名截止时间及地点</w:t>
      </w:r>
    </w:p>
    <w:p>
      <w:pPr>
        <w:widowControl/>
        <w:spacing w:before="0" w:beforeAutospacing="0" w:line="560" w:lineRule="exact"/>
        <w:ind w:left="561" w:leftChars="267" w:firstLine="160" w:firstLineChars="50"/>
        <w:jc w:val="left"/>
        <w:rPr>
          <w:rFonts w:ascii="仿宋_GB2312" w:hAnsi="宋体" w:eastAsia="仿宋_GB2312" w:cs="宋体"/>
          <w:sz w:val="32"/>
          <w:szCs w:val="32"/>
        </w:rPr>
      </w:pPr>
      <w:r>
        <w:rPr>
          <w:rFonts w:hint="eastAsia" w:ascii="仿宋_GB2312" w:hAnsi="宋体" w:eastAsia="仿宋_GB2312" w:cs="宋体"/>
          <w:sz w:val="32"/>
          <w:szCs w:val="32"/>
        </w:rPr>
        <w:t>联系电话：66983136。联系人：陈燕芳。</w:t>
      </w:r>
    </w:p>
    <w:p>
      <w:pPr>
        <w:widowControl/>
        <w:spacing w:before="0" w:beforeAutospacing="0"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报名及材料报送地点：吴中区苏街</w:t>
      </w:r>
      <w:r>
        <w:rPr>
          <w:rFonts w:ascii="仿宋_GB2312" w:hAnsi="宋体" w:eastAsia="仿宋_GB2312" w:cs="宋体"/>
          <w:sz w:val="32"/>
          <w:szCs w:val="32"/>
        </w:rPr>
        <w:t>198</w:t>
      </w:r>
      <w:r>
        <w:rPr>
          <w:rFonts w:hint="eastAsia" w:ascii="仿宋_GB2312" w:hAnsi="宋体" w:eastAsia="仿宋_GB2312" w:cs="宋体"/>
          <w:sz w:val="32"/>
          <w:szCs w:val="32"/>
        </w:rPr>
        <w:t>号吴中商务中心</w:t>
      </w:r>
      <w:r>
        <w:rPr>
          <w:rFonts w:ascii="仿宋_GB2312" w:hAnsi="宋体" w:eastAsia="仿宋_GB2312" w:cs="宋体"/>
          <w:sz w:val="32"/>
          <w:szCs w:val="32"/>
        </w:rPr>
        <w:t>A</w:t>
      </w:r>
      <w:r>
        <w:rPr>
          <w:rFonts w:hint="eastAsia" w:ascii="仿宋_GB2312" w:hAnsi="宋体" w:eastAsia="仿宋_GB2312" w:cs="宋体"/>
          <w:sz w:val="32"/>
          <w:szCs w:val="32"/>
        </w:rPr>
        <w:t>楼</w:t>
      </w:r>
      <w:r>
        <w:rPr>
          <w:rFonts w:ascii="仿宋_GB2312" w:hAnsi="宋体" w:eastAsia="仿宋_GB2312" w:cs="宋体"/>
          <w:sz w:val="32"/>
          <w:szCs w:val="32"/>
        </w:rPr>
        <w:t>1</w:t>
      </w:r>
      <w:r>
        <w:rPr>
          <w:rFonts w:hint="eastAsia" w:ascii="仿宋_GB2312" w:hAnsi="宋体" w:eastAsia="仿宋_GB2312" w:cs="宋体"/>
          <w:sz w:val="32"/>
          <w:szCs w:val="32"/>
        </w:rPr>
        <w:t>513室。</w:t>
      </w:r>
    </w:p>
    <w:p>
      <w:pPr>
        <w:widowControl/>
        <w:spacing w:before="0" w:beforeAutospacing="0" w:line="560" w:lineRule="exact"/>
        <w:ind w:left="561" w:leftChars="267"/>
        <w:jc w:val="left"/>
        <w:rPr>
          <w:rFonts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、项目响应截止时间：</w:t>
      </w:r>
      <w:r>
        <w:rPr>
          <w:rFonts w:ascii="仿宋_GB2312" w:hAnsi="宋体" w:eastAsia="仿宋_GB2312" w:cs="宋体"/>
          <w:sz w:val="32"/>
          <w:szCs w:val="32"/>
        </w:rPr>
        <w:t>20</w:t>
      </w:r>
      <w:r>
        <w:rPr>
          <w:rFonts w:hint="eastAsia" w:ascii="仿宋_GB2312" w:hAnsi="宋体" w:eastAsia="仿宋_GB2312" w:cs="宋体"/>
          <w:sz w:val="32"/>
          <w:szCs w:val="32"/>
        </w:rPr>
        <w:t>21年9月27日上午</w:t>
      </w:r>
      <w:r>
        <w:rPr>
          <w:rFonts w:ascii="仿宋_GB2312" w:hAnsi="宋体" w:eastAsia="仿宋_GB2312" w:cs="宋体"/>
          <w:sz w:val="32"/>
          <w:szCs w:val="32"/>
        </w:rPr>
        <w:t>9</w:t>
      </w:r>
      <w:r>
        <w:rPr>
          <w:rFonts w:hint="eastAsia" w:ascii="仿宋_GB2312" w:hAnsi="宋体" w:eastAsia="仿宋_GB2312" w:cs="宋体"/>
          <w:sz w:val="32"/>
          <w:szCs w:val="32"/>
        </w:rPr>
        <w:t>：</w:t>
      </w:r>
      <w:r>
        <w:rPr>
          <w:rFonts w:ascii="仿宋_GB2312" w:hAnsi="宋体" w:eastAsia="仿宋_GB2312" w:cs="宋体"/>
          <w:sz w:val="32"/>
          <w:szCs w:val="32"/>
        </w:rPr>
        <w:t>30</w:t>
      </w:r>
      <w:r>
        <w:rPr>
          <w:rFonts w:hint="eastAsia" w:ascii="仿宋_GB2312" w:hAnsi="宋体" w:eastAsia="仿宋_GB2312" w:cs="宋体"/>
          <w:sz w:val="32"/>
          <w:szCs w:val="32"/>
        </w:rPr>
        <w:t>，响应委托方须在规定时间内将响应文件送至规定地点。</w:t>
      </w:r>
    </w:p>
    <w:p>
      <w:pPr>
        <w:widowControl/>
        <w:spacing w:before="0" w:beforeAutospacing="0" w:line="560" w:lineRule="exact"/>
        <w:ind w:left="561" w:leftChars="267"/>
        <w:jc w:val="left"/>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、确定中标单位时间为</w:t>
      </w:r>
      <w:r>
        <w:rPr>
          <w:rFonts w:ascii="仿宋_GB2312" w:hAnsi="宋体" w:eastAsia="仿宋_GB2312" w:cs="宋体"/>
          <w:sz w:val="32"/>
          <w:szCs w:val="32"/>
        </w:rPr>
        <w:t>20</w:t>
      </w:r>
      <w:r>
        <w:rPr>
          <w:rFonts w:hint="eastAsia" w:ascii="仿宋_GB2312" w:hAnsi="宋体" w:eastAsia="仿宋_GB2312" w:cs="宋体"/>
          <w:sz w:val="32"/>
          <w:szCs w:val="32"/>
        </w:rPr>
        <w:t>21年9月27日。</w:t>
      </w:r>
    </w:p>
    <w:p>
      <w:pPr>
        <w:widowControl/>
        <w:spacing w:before="0" w:beforeAutospacing="0" w:line="560" w:lineRule="exact"/>
        <w:ind w:left="561" w:leftChars="267"/>
        <w:jc w:val="left"/>
        <w:rPr>
          <w:rFonts w:ascii="仿宋_GB2312" w:hAnsi="宋体" w:eastAsia="仿宋_GB2312"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、确定中标单位地点</w:t>
      </w:r>
      <w:r>
        <w:rPr>
          <w:rFonts w:ascii="仿宋_GB2312" w:hAnsi="宋体" w:eastAsia="仿宋_GB2312" w:cs="宋体"/>
          <w:sz w:val="32"/>
          <w:szCs w:val="32"/>
        </w:rPr>
        <w:t>:</w:t>
      </w:r>
      <w:r>
        <w:rPr>
          <w:rFonts w:hint="eastAsia" w:ascii="仿宋_GB2312" w:hAnsi="宋体" w:eastAsia="仿宋_GB2312" w:cs="宋体"/>
          <w:sz w:val="32"/>
          <w:szCs w:val="32"/>
        </w:rPr>
        <w:t>吴中商务中心</w:t>
      </w:r>
      <w:r>
        <w:rPr>
          <w:rFonts w:ascii="仿宋_GB2312" w:hAnsi="宋体" w:eastAsia="仿宋_GB2312" w:cs="宋体"/>
          <w:sz w:val="32"/>
          <w:szCs w:val="32"/>
        </w:rPr>
        <w:t>A</w:t>
      </w:r>
      <w:r>
        <w:rPr>
          <w:rFonts w:hint="eastAsia" w:ascii="仿宋_GB2312" w:hAnsi="宋体" w:eastAsia="仿宋_GB2312" w:cs="宋体"/>
          <w:sz w:val="32"/>
          <w:szCs w:val="32"/>
        </w:rPr>
        <w:t>楼</w:t>
      </w:r>
      <w:r>
        <w:rPr>
          <w:rFonts w:ascii="仿宋_GB2312" w:hAnsi="宋体" w:eastAsia="仿宋_GB2312" w:cs="宋体"/>
          <w:sz w:val="32"/>
          <w:szCs w:val="32"/>
        </w:rPr>
        <w:t>15</w:t>
      </w:r>
      <w:r>
        <w:rPr>
          <w:rFonts w:hint="eastAsia" w:ascii="仿宋_GB2312" w:hAnsi="宋体" w:eastAsia="仿宋_GB2312" w:cs="宋体"/>
          <w:sz w:val="32"/>
          <w:szCs w:val="32"/>
        </w:rPr>
        <w:t>楼会议室。</w:t>
      </w:r>
    </w:p>
    <w:p>
      <w:pPr>
        <w:widowControl/>
        <w:spacing w:before="0" w:beforeAutospacing="0" w:line="560" w:lineRule="exact"/>
        <w:ind w:firstLine="640" w:firstLineChars="200"/>
        <w:jc w:val="left"/>
        <w:rPr>
          <w:rFonts w:ascii="仿宋_GB2312" w:hAnsi="宋体" w:eastAsia="仿宋_GB2312" w:cs="宋体"/>
          <w:sz w:val="32"/>
          <w:szCs w:val="32"/>
        </w:rPr>
      </w:pPr>
    </w:p>
    <w:p>
      <w:pPr>
        <w:widowControl/>
        <w:spacing w:before="0" w:beforeAutospacing="0" w:line="560" w:lineRule="exact"/>
        <w:ind w:right="320"/>
        <w:jc w:val="right"/>
        <w:rPr>
          <w:rFonts w:ascii="仿宋_GB2312" w:hAnsi="宋体" w:eastAsia="仿宋_GB2312" w:cs="宋体"/>
          <w:sz w:val="32"/>
          <w:szCs w:val="32"/>
        </w:rPr>
      </w:pPr>
      <w:r>
        <w:rPr>
          <w:rFonts w:hint="eastAsia" w:ascii="仿宋_GB2312" w:hAnsi="宋体" w:eastAsia="仿宋_GB2312" w:cs="宋体"/>
          <w:sz w:val="32"/>
          <w:szCs w:val="32"/>
        </w:rPr>
        <w:t>苏州市吴中生态环境局</w:t>
      </w:r>
    </w:p>
    <w:p>
      <w:pPr>
        <w:widowControl/>
        <w:spacing w:before="0" w:beforeAutospacing="0" w:line="560" w:lineRule="exact"/>
        <w:ind w:right="640"/>
        <w:jc w:val="right"/>
        <w:rPr>
          <w:rFonts w:ascii="仿宋_GB2312" w:eastAsia="仿宋_GB2312"/>
          <w:sz w:val="32"/>
          <w:szCs w:val="32"/>
        </w:rPr>
      </w:pPr>
      <w:r>
        <w:rPr>
          <w:rFonts w:ascii="仿宋_GB2312" w:hAnsi="宋体" w:eastAsia="仿宋_GB2312" w:cs="宋体"/>
          <w:sz w:val="32"/>
          <w:szCs w:val="32"/>
        </w:rPr>
        <w:t>202</w:t>
      </w:r>
      <w:r>
        <w:rPr>
          <w:rFonts w:hint="eastAsia" w:ascii="仿宋_GB2312" w:hAnsi="宋体" w:eastAsia="仿宋_GB2312" w:cs="宋体"/>
          <w:sz w:val="32"/>
          <w:szCs w:val="32"/>
        </w:rPr>
        <w:t>1年9月16日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KTJ + ZCKJKi-2">
    <w:altName w:val="Times New Roman"/>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57"/>
    <w:rsid w:val="00024211"/>
    <w:rsid w:val="00042FD9"/>
    <w:rsid w:val="00047527"/>
    <w:rsid w:val="0005666C"/>
    <w:rsid w:val="00063B75"/>
    <w:rsid w:val="00082DAF"/>
    <w:rsid w:val="000B2CD0"/>
    <w:rsid w:val="000B5FEE"/>
    <w:rsid w:val="000B781A"/>
    <w:rsid w:val="000C75E7"/>
    <w:rsid w:val="000F0EAF"/>
    <w:rsid w:val="000F187F"/>
    <w:rsid w:val="001014DA"/>
    <w:rsid w:val="0012554C"/>
    <w:rsid w:val="001318DD"/>
    <w:rsid w:val="00132560"/>
    <w:rsid w:val="00142BDD"/>
    <w:rsid w:val="00147B55"/>
    <w:rsid w:val="001772D2"/>
    <w:rsid w:val="00183871"/>
    <w:rsid w:val="00185885"/>
    <w:rsid w:val="00196C77"/>
    <w:rsid w:val="001A02EE"/>
    <w:rsid w:val="001A1C1E"/>
    <w:rsid w:val="001E3AB7"/>
    <w:rsid w:val="00233B10"/>
    <w:rsid w:val="002552C3"/>
    <w:rsid w:val="00285340"/>
    <w:rsid w:val="0029541E"/>
    <w:rsid w:val="002B73B2"/>
    <w:rsid w:val="002E4377"/>
    <w:rsid w:val="002E5AB7"/>
    <w:rsid w:val="0030385A"/>
    <w:rsid w:val="003072B1"/>
    <w:rsid w:val="003079C6"/>
    <w:rsid w:val="00311488"/>
    <w:rsid w:val="00320A7A"/>
    <w:rsid w:val="003278DC"/>
    <w:rsid w:val="0033155B"/>
    <w:rsid w:val="00341DE6"/>
    <w:rsid w:val="003559C2"/>
    <w:rsid w:val="00356EA9"/>
    <w:rsid w:val="00357F6A"/>
    <w:rsid w:val="00360362"/>
    <w:rsid w:val="00363C34"/>
    <w:rsid w:val="0037004A"/>
    <w:rsid w:val="0037379E"/>
    <w:rsid w:val="00381AFB"/>
    <w:rsid w:val="003C6484"/>
    <w:rsid w:val="003D01A2"/>
    <w:rsid w:val="00446066"/>
    <w:rsid w:val="00452061"/>
    <w:rsid w:val="00470DE3"/>
    <w:rsid w:val="004A3A80"/>
    <w:rsid w:val="004C2494"/>
    <w:rsid w:val="004C786A"/>
    <w:rsid w:val="004E4624"/>
    <w:rsid w:val="004F1B8F"/>
    <w:rsid w:val="00514CA6"/>
    <w:rsid w:val="005153DC"/>
    <w:rsid w:val="0055567C"/>
    <w:rsid w:val="005A6CA1"/>
    <w:rsid w:val="005B743E"/>
    <w:rsid w:val="005C00E0"/>
    <w:rsid w:val="005C345F"/>
    <w:rsid w:val="005D7030"/>
    <w:rsid w:val="005E4B9B"/>
    <w:rsid w:val="005E4D5F"/>
    <w:rsid w:val="0061282D"/>
    <w:rsid w:val="00624747"/>
    <w:rsid w:val="0063655B"/>
    <w:rsid w:val="00642A16"/>
    <w:rsid w:val="0064531B"/>
    <w:rsid w:val="0064703D"/>
    <w:rsid w:val="00652AFA"/>
    <w:rsid w:val="00696FAE"/>
    <w:rsid w:val="006A3DD0"/>
    <w:rsid w:val="006D4CAF"/>
    <w:rsid w:val="006E599B"/>
    <w:rsid w:val="00700579"/>
    <w:rsid w:val="00703BDA"/>
    <w:rsid w:val="00703FEE"/>
    <w:rsid w:val="0072023B"/>
    <w:rsid w:val="00723508"/>
    <w:rsid w:val="007350A7"/>
    <w:rsid w:val="00752EB7"/>
    <w:rsid w:val="0075621A"/>
    <w:rsid w:val="00771586"/>
    <w:rsid w:val="007855AD"/>
    <w:rsid w:val="007A0C0D"/>
    <w:rsid w:val="007A3945"/>
    <w:rsid w:val="007A5CDC"/>
    <w:rsid w:val="007B211C"/>
    <w:rsid w:val="007D0C63"/>
    <w:rsid w:val="007D45B5"/>
    <w:rsid w:val="007E0357"/>
    <w:rsid w:val="007E205C"/>
    <w:rsid w:val="007E59A3"/>
    <w:rsid w:val="00801F84"/>
    <w:rsid w:val="0083614C"/>
    <w:rsid w:val="00850AE1"/>
    <w:rsid w:val="00860759"/>
    <w:rsid w:val="008615CF"/>
    <w:rsid w:val="0087653B"/>
    <w:rsid w:val="00880AE6"/>
    <w:rsid w:val="0089222E"/>
    <w:rsid w:val="008A72C6"/>
    <w:rsid w:val="008B13C6"/>
    <w:rsid w:val="008B4A46"/>
    <w:rsid w:val="008B6AA2"/>
    <w:rsid w:val="008F139A"/>
    <w:rsid w:val="008F1BDF"/>
    <w:rsid w:val="00935701"/>
    <w:rsid w:val="00955290"/>
    <w:rsid w:val="00956A4F"/>
    <w:rsid w:val="009577D9"/>
    <w:rsid w:val="00963BF7"/>
    <w:rsid w:val="00966C7C"/>
    <w:rsid w:val="009B14AD"/>
    <w:rsid w:val="009C7023"/>
    <w:rsid w:val="009D0CCB"/>
    <w:rsid w:val="009D1348"/>
    <w:rsid w:val="009D1710"/>
    <w:rsid w:val="009F3A46"/>
    <w:rsid w:val="00A07BDA"/>
    <w:rsid w:val="00A21B9E"/>
    <w:rsid w:val="00A2204E"/>
    <w:rsid w:val="00A50FD5"/>
    <w:rsid w:val="00A711FE"/>
    <w:rsid w:val="00AB005F"/>
    <w:rsid w:val="00AC5A85"/>
    <w:rsid w:val="00AE4CD3"/>
    <w:rsid w:val="00B107C5"/>
    <w:rsid w:val="00B25337"/>
    <w:rsid w:val="00B64144"/>
    <w:rsid w:val="00BB5285"/>
    <w:rsid w:val="00BE6AE5"/>
    <w:rsid w:val="00BF27B0"/>
    <w:rsid w:val="00C135C6"/>
    <w:rsid w:val="00C15381"/>
    <w:rsid w:val="00C2358F"/>
    <w:rsid w:val="00C27F99"/>
    <w:rsid w:val="00C659F5"/>
    <w:rsid w:val="00C7421E"/>
    <w:rsid w:val="00C7762D"/>
    <w:rsid w:val="00CB146E"/>
    <w:rsid w:val="00CD5837"/>
    <w:rsid w:val="00CD5B32"/>
    <w:rsid w:val="00D012DF"/>
    <w:rsid w:val="00D30B6D"/>
    <w:rsid w:val="00D40D68"/>
    <w:rsid w:val="00D47422"/>
    <w:rsid w:val="00D503A1"/>
    <w:rsid w:val="00D52427"/>
    <w:rsid w:val="00D86008"/>
    <w:rsid w:val="00D92C91"/>
    <w:rsid w:val="00DA57CE"/>
    <w:rsid w:val="00DC45E2"/>
    <w:rsid w:val="00DD4CEA"/>
    <w:rsid w:val="00E153A2"/>
    <w:rsid w:val="00E1584B"/>
    <w:rsid w:val="00E202D8"/>
    <w:rsid w:val="00E43275"/>
    <w:rsid w:val="00E55012"/>
    <w:rsid w:val="00E603B7"/>
    <w:rsid w:val="00EB67B5"/>
    <w:rsid w:val="00F12205"/>
    <w:rsid w:val="00F528C1"/>
    <w:rsid w:val="00F54353"/>
    <w:rsid w:val="00F550D3"/>
    <w:rsid w:val="00F62CD1"/>
    <w:rsid w:val="00F65F06"/>
    <w:rsid w:val="00F716CF"/>
    <w:rsid w:val="00FE1334"/>
    <w:rsid w:val="00FE6A0A"/>
    <w:rsid w:val="019472CF"/>
    <w:rsid w:val="02AE4B16"/>
    <w:rsid w:val="02C45375"/>
    <w:rsid w:val="03CE23E4"/>
    <w:rsid w:val="03DD6BE6"/>
    <w:rsid w:val="044764F1"/>
    <w:rsid w:val="0495129E"/>
    <w:rsid w:val="04954603"/>
    <w:rsid w:val="049A76C6"/>
    <w:rsid w:val="04EC4A59"/>
    <w:rsid w:val="05A37D7E"/>
    <w:rsid w:val="06273F7A"/>
    <w:rsid w:val="06DE643B"/>
    <w:rsid w:val="07F713D2"/>
    <w:rsid w:val="0A4500F4"/>
    <w:rsid w:val="0B3C7FF0"/>
    <w:rsid w:val="0B4A1A55"/>
    <w:rsid w:val="0BE05A57"/>
    <w:rsid w:val="0C9C74CC"/>
    <w:rsid w:val="0E3C5F9C"/>
    <w:rsid w:val="0EA04233"/>
    <w:rsid w:val="101645E5"/>
    <w:rsid w:val="10941A42"/>
    <w:rsid w:val="10FA1C64"/>
    <w:rsid w:val="11127DCD"/>
    <w:rsid w:val="116234BE"/>
    <w:rsid w:val="119B50D1"/>
    <w:rsid w:val="137251AB"/>
    <w:rsid w:val="138304DD"/>
    <w:rsid w:val="145E6085"/>
    <w:rsid w:val="153B5CB2"/>
    <w:rsid w:val="15420182"/>
    <w:rsid w:val="15736357"/>
    <w:rsid w:val="15DA02BE"/>
    <w:rsid w:val="16B62D6D"/>
    <w:rsid w:val="16D6534D"/>
    <w:rsid w:val="16EE2392"/>
    <w:rsid w:val="18FF6AAD"/>
    <w:rsid w:val="1AD52E76"/>
    <w:rsid w:val="1CA86667"/>
    <w:rsid w:val="1CBA3FFC"/>
    <w:rsid w:val="1D5B39B7"/>
    <w:rsid w:val="1DBC1AD4"/>
    <w:rsid w:val="1E3A6A42"/>
    <w:rsid w:val="1E951297"/>
    <w:rsid w:val="1EB73929"/>
    <w:rsid w:val="1EC1199C"/>
    <w:rsid w:val="1F364DB0"/>
    <w:rsid w:val="1FD530F3"/>
    <w:rsid w:val="2082470D"/>
    <w:rsid w:val="20860069"/>
    <w:rsid w:val="2177505A"/>
    <w:rsid w:val="220B7C76"/>
    <w:rsid w:val="22A747B5"/>
    <w:rsid w:val="2302315C"/>
    <w:rsid w:val="2336491B"/>
    <w:rsid w:val="237E4242"/>
    <w:rsid w:val="239A7D57"/>
    <w:rsid w:val="23D76276"/>
    <w:rsid w:val="24131153"/>
    <w:rsid w:val="257E01AB"/>
    <w:rsid w:val="25E40F4C"/>
    <w:rsid w:val="25EE692A"/>
    <w:rsid w:val="28D425A1"/>
    <w:rsid w:val="296440FA"/>
    <w:rsid w:val="29FE5F3D"/>
    <w:rsid w:val="2A4D1FDE"/>
    <w:rsid w:val="2C0E55EB"/>
    <w:rsid w:val="2C2457AE"/>
    <w:rsid w:val="2CE9291A"/>
    <w:rsid w:val="2D7F061B"/>
    <w:rsid w:val="2DCA4E50"/>
    <w:rsid w:val="2DEE63D7"/>
    <w:rsid w:val="30DA03B3"/>
    <w:rsid w:val="30E41B87"/>
    <w:rsid w:val="3102352F"/>
    <w:rsid w:val="3113017B"/>
    <w:rsid w:val="32A371B7"/>
    <w:rsid w:val="32E77C48"/>
    <w:rsid w:val="3369678B"/>
    <w:rsid w:val="33934BA5"/>
    <w:rsid w:val="340D4DE3"/>
    <w:rsid w:val="340F5E8A"/>
    <w:rsid w:val="34380F50"/>
    <w:rsid w:val="347234F6"/>
    <w:rsid w:val="3505375B"/>
    <w:rsid w:val="35FA705C"/>
    <w:rsid w:val="36296023"/>
    <w:rsid w:val="363B7065"/>
    <w:rsid w:val="36C625AF"/>
    <w:rsid w:val="37C81511"/>
    <w:rsid w:val="383B4AAA"/>
    <w:rsid w:val="38C36AF9"/>
    <w:rsid w:val="39F82B27"/>
    <w:rsid w:val="3A4E7F8A"/>
    <w:rsid w:val="3B7E1DEB"/>
    <w:rsid w:val="3C736DDD"/>
    <w:rsid w:val="3CE32449"/>
    <w:rsid w:val="3D00434A"/>
    <w:rsid w:val="3E47261C"/>
    <w:rsid w:val="3ED71EC8"/>
    <w:rsid w:val="3FAD082B"/>
    <w:rsid w:val="406322D2"/>
    <w:rsid w:val="409369D9"/>
    <w:rsid w:val="42951EFC"/>
    <w:rsid w:val="42AD79FD"/>
    <w:rsid w:val="43554850"/>
    <w:rsid w:val="44770DFD"/>
    <w:rsid w:val="44943751"/>
    <w:rsid w:val="451260C5"/>
    <w:rsid w:val="45F00162"/>
    <w:rsid w:val="46AF2C1F"/>
    <w:rsid w:val="471E51AE"/>
    <w:rsid w:val="47435B33"/>
    <w:rsid w:val="48992B58"/>
    <w:rsid w:val="49276FB8"/>
    <w:rsid w:val="495D4F8C"/>
    <w:rsid w:val="498A6060"/>
    <w:rsid w:val="499F6C00"/>
    <w:rsid w:val="4AC518BF"/>
    <w:rsid w:val="4B964AD9"/>
    <w:rsid w:val="4BE5409A"/>
    <w:rsid w:val="4DFA4D29"/>
    <w:rsid w:val="4E4205BD"/>
    <w:rsid w:val="4E6B70D5"/>
    <w:rsid w:val="4EF00CCE"/>
    <w:rsid w:val="4F301F2A"/>
    <w:rsid w:val="500A1602"/>
    <w:rsid w:val="512912C9"/>
    <w:rsid w:val="51336B5D"/>
    <w:rsid w:val="52097C21"/>
    <w:rsid w:val="52E34E04"/>
    <w:rsid w:val="54322F79"/>
    <w:rsid w:val="54352180"/>
    <w:rsid w:val="5457157C"/>
    <w:rsid w:val="54E87641"/>
    <w:rsid w:val="552B169A"/>
    <w:rsid w:val="55C01CC0"/>
    <w:rsid w:val="57264923"/>
    <w:rsid w:val="57B05CEE"/>
    <w:rsid w:val="57DF7582"/>
    <w:rsid w:val="582A7707"/>
    <w:rsid w:val="582B5AE3"/>
    <w:rsid w:val="58B459D8"/>
    <w:rsid w:val="5907459E"/>
    <w:rsid w:val="590B3FC4"/>
    <w:rsid w:val="5934099D"/>
    <w:rsid w:val="5A27730F"/>
    <w:rsid w:val="5AA80AA1"/>
    <w:rsid w:val="5B474637"/>
    <w:rsid w:val="5C885891"/>
    <w:rsid w:val="5CC03DB7"/>
    <w:rsid w:val="5E744740"/>
    <w:rsid w:val="5F7535DD"/>
    <w:rsid w:val="60520C83"/>
    <w:rsid w:val="605C3097"/>
    <w:rsid w:val="63FC4343"/>
    <w:rsid w:val="640F35F4"/>
    <w:rsid w:val="65880DDE"/>
    <w:rsid w:val="671463AF"/>
    <w:rsid w:val="679C7D9E"/>
    <w:rsid w:val="68636F3F"/>
    <w:rsid w:val="69206EF9"/>
    <w:rsid w:val="692E6DAA"/>
    <w:rsid w:val="69444AE2"/>
    <w:rsid w:val="6A907533"/>
    <w:rsid w:val="6AF22634"/>
    <w:rsid w:val="6B4F4B88"/>
    <w:rsid w:val="6C922F55"/>
    <w:rsid w:val="6CB03FDA"/>
    <w:rsid w:val="6D4426FE"/>
    <w:rsid w:val="6DC3209D"/>
    <w:rsid w:val="6E80634F"/>
    <w:rsid w:val="6EE753B5"/>
    <w:rsid w:val="6EEA5C47"/>
    <w:rsid w:val="6F0F401C"/>
    <w:rsid w:val="6F3353B8"/>
    <w:rsid w:val="6F336256"/>
    <w:rsid w:val="6F6925A2"/>
    <w:rsid w:val="70710926"/>
    <w:rsid w:val="70900D96"/>
    <w:rsid w:val="709504CD"/>
    <w:rsid w:val="709B7514"/>
    <w:rsid w:val="71010E22"/>
    <w:rsid w:val="71EF543D"/>
    <w:rsid w:val="724F2980"/>
    <w:rsid w:val="72BE6010"/>
    <w:rsid w:val="731753BE"/>
    <w:rsid w:val="7374709E"/>
    <w:rsid w:val="743C0F47"/>
    <w:rsid w:val="74F90D65"/>
    <w:rsid w:val="75D4120B"/>
    <w:rsid w:val="760F64C1"/>
    <w:rsid w:val="76AC0484"/>
    <w:rsid w:val="773F2AD1"/>
    <w:rsid w:val="7795046B"/>
    <w:rsid w:val="79720BF5"/>
    <w:rsid w:val="7A0D7F47"/>
    <w:rsid w:val="7D0F5429"/>
    <w:rsid w:val="7D0F6A23"/>
    <w:rsid w:val="7DCA708B"/>
    <w:rsid w:val="7E37262C"/>
    <w:rsid w:val="7E526181"/>
    <w:rsid w:val="7F9475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line="360"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autoSpaceDE w:val="0"/>
      <w:autoSpaceDN w:val="0"/>
      <w:ind w:left="181" w:firstLine="420"/>
      <w:jc w:val="both"/>
    </w:pPr>
    <w:rPr>
      <w:rFonts w:ascii="Calibri" w:hAnsi="Calibri" w:eastAsia="楷体_GB2312" w:cs="Times New Roman"/>
      <w:b/>
      <w:sz w:val="21"/>
      <w:lang w:val="en-US" w:eastAsia="zh-CN" w:bidi="ar-SA"/>
    </w:rPr>
  </w:style>
  <w:style w:type="paragraph" w:styleId="3">
    <w:name w:val="footer"/>
    <w:basedOn w:val="1"/>
    <w:link w:val="14"/>
    <w:qFormat/>
    <w:uiPriority w:val="99"/>
    <w:pPr>
      <w:tabs>
        <w:tab w:val="center" w:pos="4153"/>
        <w:tab w:val="right" w:pos="8306"/>
      </w:tabs>
      <w:snapToGrid w:val="0"/>
      <w:spacing w:line="240" w:lineRule="auto"/>
      <w:jc w:val="left"/>
    </w:pPr>
    <w:rPr>
      <w:kern w:val="0"/>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spacing w:line="240" w:lineRule="auto"/>
      <w:jc w:val="center"/>
    </w:pPr>
    <w:rPr>
      <w:kern w:val="0"/>
      <w:sz w:val="18"/>
      <w:szCs w:val="18"/>
    </w:rPr>
  </w:style>
  <w:style w:type="paragraph" w:styleId="5">
    <w:name w:val="Normal (Web)"/>
    <w:basedOn w:val="1"/>
    <w:qFormat/>
    <w:uiPriority w:val="99"/>
    <w:pPr>
      <w:spacing w:after="100" w:afterAutospacing="1" w:line="240" w:lineRule="auto"/>
      <w:jc w:val="left"/>
    </w:pPr>
    <w:rPr>
      <w:kern w:val="0"/>
      <w:sz w:val="24"/>
      <w:szCs w:val="24"/>
    </w:rPr>
  </w:style>
  <w:style w:type="paragraph" w:customStyle="1" w:styleId="8">
    <w:name w:val="p1"/>
    <w:basedOn w:val="1"/>
    <w:qFormat/>
    <w:uiPriority w:val="99"/>
    <w:pPr>
      <w:widowControl/>
      <w:spacing w:after="100" w:afterAutospacing="1" w:line="240" w:lineRule="auto"/>
      <w:jc w:val="left"/>
    </w:pPr>
    <w:rPr>
      <w:rFonts w:ascii="宋体" w:hAnsi="宋体" w:cs="宋体"/>
      <w:kern w:val="0"/>
      <w:sz w:val="24"/>
      <w:szCs w:val="24"/>
    </w:rPr>
  </w:style>
  <w:style w:type="paragraph" w:customStyle="1" w:styleId="9">
    <w:name w:val="p2"/>
    <w:basedOn w:val="1"/>
    <w:qFormat/>
    <w:uiPriority w:val="99"/>
    <w:pPr>
      <w:widowControl/>
      <w:spacing w:after="100" w:afterAutospacing="1" w:line="240" w:lineRule="auto"/>
      <w:jc w:val="left"/>
    </w:pPr>
    <w:rPr>
      <w:rFonts w:ascii="宋体" w:hAnsi="宋体" w:cs="宋体"/>
      <w:kern w:val="0"/>
      <w:sz w:val="24"/>
      <w:szCs w:val="24"/>
    </w:rPr>
  </w:style>
  <w:style w:type="character" w:customStyle="1" w:styleId="10">
    <w:name w:val="s1"/>
    <w:qFormat/>
    <w:uiPriority w:val="99"/>
    <w:rPr>
      <w:rFonts w:cs="Times New Roman"/>
    </w:rPr>
  </w:style>
  <w:style w:type="paragraph" w:customStyle="1" w:styleId="11">
    <w:name w:val="p3"/>
    <w:basedOn w:val="1"/>
    <w:qFormat/>
    <w:uiPriority w:val="99"/>
    <w:pPr>
      <w:widowControl/>
      <w:spacing w:after="100" w:afterAutospacing="1" w:line="240" w:lineRule="auto"/>
      <w:jc w:val="left"/>
    </w:pPr>
    <w:rPr>
      <w:rFonts w:ascii="宋体" w:hAnsi="宋体" w:cs="宋体"/>
      <w:kern w:val="0"/>
      <w:sz w:val="24"/>
      <w:szCs w:val="24"/>
    </w:rPr>
  </w:style>
  <w:style w:type="paragraph" w:customStyle="1" w:styleId="12">
    <w:name w:val="p4"/>
    <w:basedOn w:val="1"/>
    <w:qFormat/>
    <w:uiPriority w:val="99"/>
    <w:pPr>
      <w:widowControl/>
      <w:spacing w:after="100" w:afterAutospacing="1" w:line="240" w:lineRule="auto"/>
      <w:jc w:val="left"/>
    </w:pPr>
    <w:rPr>
      <w:rFonts w:ascii="宋体" w:hAnsi="宋体" w:cs="宋体"/>
      <w:kern w:val="0"/>
      <w:sz w:val="24"/>
      <w:szCs w:val="24"/>
    </w:rPr>
  </w:style>
  <w:style w:type="character" w:customStyle="1" w:styleId="13">
    <w:name w:val="页眉 Char"/>
    <w:link w:val="4"/>
    <w:qFormat/>
    <w:locked/>
    <w:uiPriority w:val="99"/>
    <w:rPr>
      <w:rFonts w:cs="Times New Roman"/>
      <w:sz w:val="18"/>
      <w:szCs w:val="18"/>
    </w:rPr>
  </w:style>
  <w:style w:type="character" w:customStyle="1" w:styleId="14">
    <w:name w:val="页脚 Char"/>
    <w:link w:val="3"/>
    <w:qFormat/>
    <w:locked/>
    <w:uiPriority w:val="99"/>
    <w:rPr>
      <w:rFonts w:cs="Times New Roman"/>
      <w:sz w:val="18"/>
      <w:szCs w:val="18"/>
    </w:rPr>
  </w:style>
  <w:style w:type="paragraph" w:styleId="15">
    <w:name w:val="List Paragraph"/>
    <w:basedOn w:val="1"/>
    <w:qFormat/>
    <w:uiPriority w:val="99"/>
    <w:pPr>
      <w:ind w:firstLine="420" w:firstLineChars="200"/>
    </w:pPr>
  </w:style>
  <w:style w:type="character" w:customStyle="1" w:styleId="16">
    <w:name w:val="fontstyle01"/>
    <w:qFormat/>
    <w:uiPriority w:val="0"/>
    <w:rPr>
      <w:rFonts w:ascii="仿宋_GB2312" w:hAnsi="仿宋_GB2312" w:eastAsia="仿宋_GB2312" w:cs="仿宋_GB2312"/>
      <w:color w:val="000000"/>
      <w:sz w:val="32"/>
      <w:szCs w:val="32"/>
    </w:rPr>
  </w:style>
  <w:style w:type="character" w:customStyle="1" w:styleId="17">
    <w:name w:val="fontstyle11"/>
    <w:qFormat/>
    <w:uiPriority w:val="0"/>
    <w:rPr>
      <w:rFonts w:ascii="KTJ + ZCKJKi-2" w:hAnsi="KTJ + ZCKJKi-2" w:eastAsia="KTJ + ZCKJKi-2" w:cs="KTJ + ZCKJKi-2"/>
      <w:color w:val="000000"/>
      <w:sz w:val="32"/>
      <w:szCs w:val="32"/>
    </w:rPr>
  </w:style>
  <w:style w:type="character" w:customStyle="1" w:styleId="18">
    <w:name w:val="fontstyle31"/>
    <w:qFormat/>
    <w:uiPriority w:val="0"/>
    <w:rPr>
      <w:rFonts w:ascii="Times-Roman" w:hAnsi="Times-Roman" w:eastAsia="Times-Roman" w:cs="Times-Roman"/>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264</Words>
  <Characters>1505</Characters>
  <Lines>12</Lines>
  <Paragraphs>3</Paragraphs>
  <TotalTime>8</TotalTime>
  <ScaleCrop>false</ScaleCrop>
  <LinksUpToDate>false</LinksUpToDate>
  <CharactersWithSpaces>1766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2021-09-16T08:11:00Z</dcterms:created>
  <dc:creator>秦惠平</dc:creator>
  <cp:lastModifiedBy>cyf</cp:lastModifiedBy>
  <cp:lastPrinted>2020-10-15T06:37:00Z</cp:lastPrinted>
  <dcterms:modified xsi:type="dcterms:W3CDTF">2021-09-17T03:21:23Z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5DBE7F21168F426F95099A38112C1540</vt:lpwstr>
  </property>
</Properties>
</file>